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78EECA">
      <w:pPr>
        <w:jc w:val="center"/>
        <w:rPr>
          <w:rFonts w:ascii="宋体" w:hAnsi="宋体" w:eastAsia="宋体"/>
          <w:color w:val="auto"/>
          <w:sz w:val="44"/>
          <w:szCs w:val="44"/>
          <w:highlight w:val="none"/>
        </w:rPr>
      </w:pPr>
      <w:bookmarkStart w:id="548" w:name="_GoBack"/>
      <w:bookmarkEnd w:id="548"/>
      <w:bookmarkStart w:id="0" w:name="_Hlk53133821"/>
    </w:p>
    <w:p w14:paraId="493FF97A">
      <w:pPr>
        <w:jc w:val="center"/>
        <w:rPr>
          <w:rFonts w:hint="eastAsia" w:ascii="宋体" w:hAnsi="宋体" w:eastAsia="宋体"/>
          <w:b/>
          <w:color w:val="auto"/>
          <w:sz w:val="44"/>
          <w:szCs w:val="44"/>
          <w:highlight w:val="none"/>
          <w:lang w:eastAsia="zh-CN"/>
        </w:rPr>
      </w:pPr>
      <w:r>
        <w:rPr>
          <w:rFonts w:hint="eastAsia" w:ascii="宋体" w:hAnsi="宋体" w:eastAsia="宋体"/>
          <w:b/>
          <w:color w:val="auto"/>
          <w:sz w:val="44"/>
          <w:szCs w:val="44"/>
          <w:highlight w:val="none"/>
          <w:lang w:eastAsia="zh-CN"/>
        </w:rPr>
        <w:t>广州国际文化中心营销策划顾问及首席租赁代理服务（第三次招标）</w:t>
      </w:r>
    </w:p>
    <w:bookmarkEnd w:id="0"/>
    <w:p w14:paraId="2EDD4C64">
      <w:pPr>
        <w:jc w:val="center"/>
        <w:rPr>
          <w:rFonts w:ascii="宋体" w:hAnsi="宋体" w:eastAsia="宋体" w:cs="宋体"/>
          <w:color w:val="auto"/>
          <w:sz w:val="36"/>
          <w:szCs w:val="36"/>
          <w:highlight w:val="none"/>
        </w:rPr>
      </w:pPr>
      <w:r>
        <w:rPr>
          <w:rFonts w:hint="eastAsia" w:ascii="宋体" w:hAnsi="宋体" w:eastAsia="宋体" w:cs="宋体"/>
          <w:color w:val="auto"/>
          <w:sz w:val="36"/>
          <w:szCs w:val="36"/>
          <w:highlight w:val="none"/>
        </w:rPr>
        <w:t>（招标编号：</w:t>
      </w:r>
      <w:r>
        <w:rPr>
          <w:rFonts w:ascii="宋体" w:hAnsi="宋体" w:eastAsia="宋体" w:cs="宋体"/>
          <w:color w:val="auto"/>
          <w:sz w:val="36"/>
          <w:szCs w:val="36"/>
          <w:highlight w:val="none"/>
          <w:u w:val="single"/>
        </w:rPr>
        <w:t>GJJLZB-</w:t>
      </w:r>
      <w:r>
        <w:rPr>
          <w:rFonts w:hint="eastAsia" w:ascii="宋体" w:hAnsi="宋体" w:eastAsia="宋体" w:cs="宋体"/>
          <w:color w:val="auto"/>
          <w:sz w:val="36"/>
          <w:szCs w:val="36"/>
          <w:highlight w:val="none"/>
          <w:u w:val="single"/>
        </w:rPr>
        <w:t>2025-044</w:t>
      </w:r>
      <w:r>
        <w:rPr>
          <w:rFonts w:ascii="宋体" w:hAnsi="宋体" w:eastAsia="宋体" w:cs="宋体"/>
          <w:color w:val="auto"/>
          <w:sz w:val="36"/>
          <w:szCs w:val="36"/>
          <w:highlight w:val="none"/>
        </w:rPr>
        <w:t>）</w:t>
      </w:r>
    </w:p>
    <w:p w14:paraId="7F30D852">
      <w:pPr>
        <w:jc w:val="center"/>
        <w:rPr>
          <w:rFonts w:ascii="宋体" w:hAnsi="宋体" w:eastAsia="宋体"/>
          <w:b/>
          <w:color w:val="auto"/>
          <w:sz w:val="44"/>
          <w:szCs w:val="44"/>
          <w:highlight w:val="none"/>
        </w:rPr>
      </w:pPr>
    </w:p>
    <w:p w14:paraId="55E30724">
      <w:pPr>
        <w:jc w:val="center"/>
        <w:rPr>
          <w:rFonts w:ascii="宋体" w:hAnsi="宋体" w:eastAsia="宋体"/>
          <w:b/>
          <w:color w:val="auto"/>
          <w:sz w:val="44"/>
          <w:szCs w:val="44"/>
          <w:highlight w:val="none"/>
        </w:rPr>
      </w:pPr>
    </w:p>
    <w:p w14:paraId="058EF437">
      <w:pPr>
        <w:jc w:val="center"/>
        <w:rPr>
          <w:rFonts w:ascii="宋体" w:hAnsi="宋体" w:eastAsia="宋体" w:cs="宋体"/>
          <w:b/>
          <w:bCs/>
          <w:color w:val="auto"/>
          <w:spacing w:val="26"/>
          <w:sz w:val="110"/>
          <w:szCs w:val="110"/>
          <w:highlight w:val="none"/>
        </w:rPr>
      </w:pPr>
      <w:r>
        <w:rPr>
          <w:rFonts w:hint="eastAsia" w:ascii="宋体" w:hAnsi="宋体" w:eastAsia="宋体" w:cs="宋体"/>
          <w:b/>
          <w:bCs/>
          <w:color w:val="auto"/>
          <w:spacing w:val="26"/>
          <w:sz w:val="110"/>
          <w:szCs w:val="110"/>
          <w:highlight w:val="none"/>
        </w:rPr>
        <w:t>招标文件</w:t>
      </w:r>
    </w:p>
    <w:p w14:paraId="1FBD8B04">
      <w:pPr>
        <w:spacing w:line="360" w:lineRule="auto"/>
        <w:jc w:val="center"/>
        <w:rPr>
          <w:rFonts w:ascii="宋体" w:hAnsi="宋体" w:eastAsia="宋体" w:cs="宋体"/>
          <w:color w:val="auto"/>
          <w:sz w:val="32"/>
          <w:szCs w:val="32"/>
          <w:highlight w:val="none"/>
        </w:rPr>
      </w:pPr>
    </w:p>
    <w:p w14:paraId="644CC56C">
      <w:pPr>
        <w:spacing w:line="360" w:lineRule="auto"/>
        <w:jc w:val="center"/>
        <w:rPr>
          <w:rFonts w:ascii="宋体" w:hAnsi="宋体" w:eastAsia="宋体" w:cs="宋体"/>
          <w:color w:val="auto"/>
          <w:sz w:val="32"/>
          <w:szCs w:val="32"/>
          <w:highlight w:val="none"/>
        </w:rPr>
      </w:pPr>
    </w:p>
    <w:p w14:paraId="705F7F63">
      <w:pPr>
        <w:spacing w:line="360" w:lineRule="auto"/>
        <w:jc w:val="center"/>
        <w:rPr>
          <w:rFonts w:ascii="宋体" w:hAnsi="宋体" w:eastAsia="宋体" w:cs="宋体"/>
          <w:color w:val="auto"/>
          <w:sz w:val="32"/>
          <w:szCs w:val="32"/>
          <w:highlight w:val="none"/>
        </w:rPr>
      </w:pPr>
      <w:r>
        <w:rPr>
          <w:rFonts w:ascii="宋体" w:hAnsi="宋体" w:eastAsia="宋体" w:cs="Arial"/>
          <w:b/>
          <w:color w:val="auto"/>
          <w:sz w:val="32"/>
          <w:szCs w:val="32"/>
          <w:highlight w:val="none"/>
        </w:rPr>
        <w:drawing>
          <wp:inline distT="0" distB="0" distL="114300" distR="114300">
            <wp:extent cx="1619250" cy="2305050"/>
            <wp:effectExtent l="0" t="0" r="0" b="0"/>
            <wp:docPr id="1" name="图片 1" descr="说明: 广建监理标志(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说明: 广建监理标志(白底)"/>
                    <pic:cNvPicPr>
                      <a:picLocks noChangeAspect="1"/>
                    </pic:cNvPicPr>
                  </pic:nvPicPr>
                  <pic:blipFill>
                    <a:blip r:embed="rId6"/>
                    <a:stretch>
                      <a:fillRect/>
                    </a:stretch>
                  </pic:blipFill>
                  <pic:spPr>
                    <a:xfrm>
                      <a:off x="0" y="0"/>
                      <a:ext cx="1619250" cy="2305050"/>
                    </a:xfrm>
                    <a:prstGeom prst="rect">
                      <a:avLst/>
                    </a:prstGeom>
                    <a:noFill/>
                    <a:ln>
                      <a:noFill/>
                    </a:ln>
                  </pic:spPr>
                </pic:pic>
              </a:graphicData>
            </a:graphic>
          </wp:inline>
        </w:drawing>
      </w:r>
    </w:p>
    <w:p w14:paraId="5B41B5B0">
      <w:pPr>
        <w:spacing w:line="360" w:lineRule="auto"/>
        <w:ind w:firstLine="2560" w:firstLineChars="800"/>
        <w:rPr>
          <w:rFonts w:ascii="宋体" w:hAnsi="宋体" w:eastAsia="宋体" w:cs="宋体"/>
          <w:color w:val="auto"/>
          <w:sz w:val="32"/>
          <w:szCs w:val="32"/>
          <w:highlight w:val="none"/>
        </w:rPr>
      </w:pPr>
    </w:p>
    <w:p w14:paraId="6EB5B6C1">
      <w:pPr>
        <w:spacing w:line="360" w:lineRule="auto"/>
        <w:jc w:val="center"/>
        <w:rPr>
          <w:rFonts w:ascii="宋体" w:hAnsi="宋体" w:eastAsia="宋体" w:cs="宋体"/>
          <w:color w:val="auto"/>
          <w:spacing w:val="-2"/>
          <w:sz w:val="30"/>
          <w:szCs w:val="30"/>
          <w:highlight w:val="none"/>
        </w:rPr>
      </w:pPr>
    </w:p>
    <w:p w14:paraId="71D441BD">
      <w:pPr>
        <w:spacing w:line="360" w:lineRule="auto"/>
        <w:jc w:val="center"/>
        <w:rPr>
          <w:rFonts w:hint="eastAsia" w:ascii="宋体" w:hAnsi="宋体" w:eastAsia="宋体" w:cs="宋体"/>
          <w:b/>
          <w:bCs/>
          <w:color w:val="auto"/>
          <w:spacing w:val="-2"/>
          <w:sz w:val="30"/>
          <w:szCs w:val="30"/>
          <w:highlight w:val="none"/>
        </w:rPr>
      </w:pPr>
      <w:r>
        <w:rPr>
          <w:rFonts w:hint="eastAsia" w:ascii="宋体" w:hAnsi="宋体" w:eastAsia="宋体" w:cs="宋体"/>
          <w:b/>
          <w:bCs/>
          <w:color w:val="auto"/>
          <w:spacing w:val="-2"/>
          <w:sz w:val="30"/>
          <w:szCs w:val="30"/>
          <w:highlight w:val="none"/>
        </w:rPr>
        <w:t>招标人：广东南传广场开发有限公司</w:t>
      </w:r>
    </w:p>
    <w:p w14:paraId="295748C0">
      <w:pPr>
        <w:spacing w:line="360" w:lineRule="auto"/>
        <w:jc w:val="center"/>
        <w:rPr>
          <w:rFonts w:ascii="宋体" w:hAnsi="宋体" w:eastAsia="宋体" w:cs="宋体"/>
          <w:b/>
          <w:bCs/>
          <w:color w:val="auto"/>
          <w:spacing w:val="-2"/>
          <w:sz w:val="30"/>
          <w:szCs w:val="30"/>
          <w:highlight w:val="none"/>
        </w:rPr>
      </w:pPr>
      <w:r>
        <w:rPr>
          <w:rFonts w:hint="eastAsia" w:ascii="宋体" w:hAnsi="宋体" w:eastAsia="宋体" w:cs="宋体"/>
          <w:b/>
          <w:bCs/>
          <w:color w:val="auto"/>
          <w:spacing w:val="-2"/>
          <w:sz w:val="30"/>
          <w:szCs w:val="30"/>
          <w:highlight w:val="none"/>
        </w:rPr>
        <w:t>招标代理机构：广州建筑工程监理有限公司</w:t>
      </w:r>
    </w:p>
    <w:p w14:paraId="5258ED1F">
      <w:pPr>
        <w:spacing w:line="360" w:lineRule="auto"/>
        <w:jc w:val="center"/>
        <w:rPr>
          <w:rFonts w:ascii="宋体" w:hAnsi="宋体" w:eastAsia="宋体" w:cs="宋体"/>
          <w:b/>
          <w:bCs/>
          <w:color w:val="auto"/>
          <w:spacing w:val="-2"/>
          <w:sz w:val="30"/>
          <w:szCs w:val="30"/>
          <w:highlight w:val="none"/>
        </w:rPr>
      </w:pPr>
      <w:r>
        <w:rPr>
          <w:rFonts w:hint="eastAsia" w:ascii="宋体" w:hAnsi="宋体" w:eastAsia="宋体" w:cs="宋体"/>
          <w:b/>
          <w:bCs/>
          <w:color w:val="auto"/>
          <w:spacing w:val="-2"/>
          <w:sz w:val="30"/>
          <w:szCs w:val="30"/>
          <w:highlight w:val="none"/>
        </w:rPr>
        <w:t>日期：2025年</w:t>
      </w:r>
      <w:r>
        <w:rPr>
          <w:rFonts w:hint="eastAsia" w:ascii="宋体" w:hAnsi="宋体" w:eastAsia="宋体" w:cs="宋体"/>
          <w:b/>
          <w:bCs/>
          <w:color w:val="auto"/>
          <w:spacing w:val="-2"/>
          <w:sz w:val="30"/>
          <w:szCs w:val="30"/>
          <w:highlight w:val="none"/>
          <w:u w:val="single"/>
          <w:lang w:val="en-US" w:eastAsia="zh-CN"/>
        </w:rPr>
        <w:t>11</w:t>
      </w:r>
      <w:r>
        <w:rPr>
          <w:rFonts w:hint="eastAsia" w:ascii="宋体" w:hAnsi="宋体" w:eastAsia="宋体" w:cs="宋体"/>
          <w:b/>
          <w:bCs/>
          <w:color w:val="auto"/>
          <w:spacing w:val="-2"/>
          <w:sz w:val="30"/>
          <w:szCs w:val="30"/>
          <w:highlight w:val="none"/>
        </w:rPr>
        <w:t>月</w:t>
      </w:r>
    </w:p>
    <w:p w14:paraId="63B8FE93">
      <w:pPr>
        <w:widowControl/>
        <w:jc w:val="left"/>
        <w:rPr>
          <w:rFonts w:ascii="宋体" w:hAnsi="宋体" w:eastAsia="宋体" w:cs="宋体"/>
          <w:b/>
          <w:bCs/>
          <w:color w:val="auto"/>
          <w:spacing w:val="-2"/>
          <w:sz w:val="30"/>
          <w:szCs w:val="30"/>
          <w:highlight w:val="none"/>
        </w:rPr>
      </w:pPr>
    </w:p>
    <w:p w14:paraId="13A32996">
      <w:pPr>
        <w:pageBreakBefore/>
        <w:spacing w:line="360" w:lineRule="auto"/>
        <w:jc w:val="center"/>
        <w:rPr>
          <w:rFonts w:ascii="宋体" w:hAnsi="宋体" w:eastAsia="宋体"/>
          <w:color w:val="auto"/>
          <w:highlight w:val="none"/>
        </w:rPr>
      </w:pPr>
      <w:r>
        <w:rPr>
          <w:rFonts w:hint="eastAsia" w:ascii="宋体" w:hAnsi="宋体" w:eastAsia="宋体"/>
          <w:color w:val="auto"/>
          <w:highlight w:val="none"/>
        </w:rPr>
        <w:t>目  录</w:t>
      </w:r>
    </w:p>
    <w:p w14:paraId="4DB02AD3">
      <w:pPr>
        <w:pStyle w:val="23"/>
        <w:tabs>
          <w:tab w:val="right" w:leader="dot" w:pos="8630"/>
        </w:tabs>
        <w:jc w:val="center"/>
        <w:rPr>
          <w:rFonts w:ascii="宋体" w:hAnsi="宋体"/>
          <w:color w:val="auto"/>
          <w:szCs w:val="21"/>
          <w:highlight w:val="none"/>
        </w:rPr>
      </w:pPr>
    </w:p>
    <w:p w14:paraId="0F6B1B1F">
      <w:pPr>
        <w:pStyle w:val="23"/>
        <w:tabs>
          <w:tab w:val="right" w:leader="dot" w:pos="8306"/>
        </w:tabs>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TOC \o "1-3" \h \z \u </w:instrText>
      </w:r>
      <w:r>
        <w:rPr>
          <w:rFonts w:hint="eastAsia" w:ascii="宋体" w:hAnsi="宋体"/>
          <w:color w:val="auto"/>
          <w:szCs w:val="21"/>
          <w:highlight w:val="none"/>
        </w:rPr>
        <w:fldChar w:fldCharType="separate"/>
      </w:r>
      <w:r>
        <w:rPr>
          <w:rFonts w:hint="eastAsia" w:ascii="宋体" w:hAnsi="宋体" w:eastAsia="宋体"/>
          <w:color w:val="auto"/>
          <w:szCs w:val="21"/>
          <w:highlight w:val="none"/>
        </w:rPr>
        <w:fldChar w:fldCharType="begin"/>
      </w:r>
      <w:r>
        <w:rPr>
          <w:rFonts w:hint="eastAsia" w:ascii="宋体" w:hAnsi="宋体" w:eastAsia="宋体"/>
          <w:szCs w:val="21"/>
          <w:highlight w:val="none"/>
        </w:rPr>
        <w:instrText xml:space="preserve"> HYPERLINK \l _Toc14456 </w:instrText>
      </w:r>
      <w:r>
        <w:rPr>
          <w:rFonts w:hint="eastAsia" w:ascii="宋体" w:hAnsi="宋体" w:eastAsia="宋体"/>
          <w:szCs w:val="21"/>
          <w:highlight w:val="none"/>
        </w:rPr>
        <w:fldChar w:fldCharType="separate"/>
      </w:r>
      <w:r>
        <w:rPr>
          <w:rFonts w:hint="eastAsia"/>
          <w:highlight w:val="none"/>
        </w:rPr>
        <w:t>第一章</w:t>
      </w:r>
      <w:r>
        <w:rPr>
          <w:highlight w:val="none"/>
        </w:rPr>
        <w:t xml:space="preserve"> </w:t>
      </w:r>
      <w:r>
        <w:rPr>
          <w:rFonts w:hint="eastAsia"/>
          <w:highlight w:val="none"/>
        </w:rPr>
        <w:t>招标公告</w:t>
      </w:r>
      <w:r>
        <w:tab/>
      </w:r>
      <w:r>
        <w:fldChar w:fldCharType="begin"/>
      </w:r>
      <w:r>
        <w:instrText xml:space="preserve"> PAGEREF _Toc14456 \h </w:instrText>
      </w:r>
      <w:r>
        <w:fldChar w:fldCharType="separate"/>
      </w:r>
      <w:r>
        <w:t>5</w:t>
      </w:r>
      <w:r>
        <w:fldChar w:fldCharType="end"/>
      </w:r>
      <w:r>
        <w:rPr>
          <w:rFonts w:hint="eastAsia" w:ascii="宋体" w:hAnsi="宋体" w:eastAsia="宋体"/>
          <w:color w:val="auto"/>
          <w:szCs w:val="21"/>
          <w:highlight w:val="none"/>
        </w:rPr>
        <w:fldChar w:fldCharType="end"/>
      </w:r>
    </w:p>
    <w:p w14:paraId="29787C99">
      <w:pPr>
        <w:pStyle w:val="23"/>
        <w:tabs>
          <w:tab w:val="right" w:leader="dot" w:pos="8306"/>
        </w:tabs>
      </w:pPr>
      <w:r>
        <w:rPr>
          <w:rFonts w:hint="eastAsia" w:ascii="宋体" w:hAnsi="宋体" w:eastAsia="宋体"/>
          <w:color w:val="auto"/>
          <w:szCs w:val="21"/>
          <w:highlight w:val="none"/>
        </w:rPr>
        <w:fldChar w:fldCharType="begin"/>
      </w:r>
      <w:r>
        <w:rPr>
          <w:rFonts w:hint="eastAsia" w:ascii="宋体" w:hAnsi="宋体" w:eastAsia="宋体"/>
          <w:szCs w:val="21"/>
          <w:highlight w:val="none"/>
        </w:rPr>
        <w:instrText xml:space="preserve"> HYPERLINK \l _Toc2613 </w:instrText>
      </w:r>
      <w:r>
        <w:rPr>
          <w:rFonts w:hint="eastAsia" w:ascii="宋体" w:hAnsi="宋体" w:eastAsia="宋体"/>
          <w:szCs w:val="21"/>
          <w:highlight w:val="none"/>
        </w:rPr>
        <w:fldChar w:fldCharType="separate"/>
      </w:r>
      <w:r>
        <w:rPr>
          <w:rFonts w:hint="eastAsia"/>
          <w:highlight w:val="none"/>
        </w:rPr>
        <w:t>第二章</w:t>
      </w:r>
      <w:r>
        <w:rPr>
          <w:highlight w:val="none"/>
        </w:rPr>
        <w:t xml:space="preserve"> </w:t>
      </w:r>
      <w:r>
        <w:rPr>
          <w:rFonts w:hint="eastAsia"/>
          <w:highlight w:val="none"/>
        </w:rPr>
        <w:t>投标人须知</w:t>
      </w:r>
      <w:r>
        <w:tab/>
      </w:r>
      <w:r>
        <w:fldChar w:fldCharType="begin"/>
      </w:r>
      <w:r>
        <w:instrText xml:space="preserve"> PAGEREF _Toc2613 \h </w:instrText>
      </w:r>
      <w:r>
        <w:fldChar w:fldCharType="separate"/>
      </w:r>
      <w:r>
        <w:t>6</w:t>
      </w:r>
      <w:r>
        <w:fldChar w:fldCharType="end"/>
      </w:r>
      <w:r>
        <w:rPr>
          <w:rFonts w:hint="eastAsia" w:ascii="宋体" w:hAnsi="宋体" w:eastAsia="宋体"/>
          <w:color w:val="auto"/>
          <w:szCs w:val="21"/>
          <w:highlight w:val="none"/>
        </w:rPr>
        <w:fldChar w:fldCharType="end"/>
      </w:r>
    </w:p>
    <w:p w14:paraId="395B0733">
      <w:pPr>
        <w:pStyle w:val="23"/>
        <w:tabs>
          <w:tab w:val="right" w:leader="dot" w:pos="8306"/>
        </w:tabs>
      </w:pPr>
      <w:r>
        <w:rPr>
          <w:rFonts w:hint="eastAsia" w:ascii="宋体" w:hAnsi="宋体" w:eastAsia="宋体"/>
          <w:color w:val="auto"/>
          <w:szCs w:val="21"/>
          <w:highlight w:val="none"/>
        </w:rPr>
        <w:fldChar w:fldCharType="begin"/>
      </w:r>
      <w:r>
        <w:rPr>
          <w:rFonts w:hint="eastAsia" w:ascii="宋体" w:hAnsi="宋体" w:eastAsia="宋体"/>
          <w:szCs w:val="21"/>
          <w:highlight w:val="none"/>
        </w:rPr>
        <w:instrText xml:space="preserve"> HYPERLINK \l _Toc5165 </w:instrText>
      </w:r>
      <w:r>
        <w:rPr>
          <w:rFonts w:hint="eastAsia" w:ascii="宋体" w:hAnsi="宋体" w:eastAsia="宋体"/>
          <w:szCs w:val="21"/>
          <w:highlight w:val="none"/>
        </w:rPr>
        <w:fldChar w:fldCharType="separate"/>
      </w:r>
      <w:r>
        <w:rPr>
          <w:rFonts w:hint="eastAsia"/>
          <w:highlight w:val="none"/>
        </w:rPr>
        <w:t>第三章</w:t>
      </w:r>
      <w:r>
        <w:rPr>
          <w:highlight w:val="none"/>
        </w:rPr>
        <w:t xml:space="preserve"> </w:t>
      </w:r>
      <w:r>
        <w:rPr>
          <w:rFonts w:hint="eastAsia"/>
          <w:highlight w:val="none"/>
        </w:rPr>
        <w:t>评标办法（综合评估法）</w:t>
      </w:r>
      <w:r>
        <w:tab/>
      </w:r>
      <w:r>
        <w:fldChar w:fldCharType="begin"/>
      </w:r>
      <w:r>
        <w:instrText xml:space="preserve"> PAGEREF _Toc5165 \h </w:instrText>
      </w:r>
      <w:r>
        <w:fldChar w:fldCharType="separate"/>
      </w:r>
      <w:r>
        <w:t>26</w:t>
      </w:r>
      <w:r>
        <w:fldChar w:fldCharType="end"/>
      </w:r>
      <w:r>
        <w:rPr>
          <w:rFonts w:hint="eastAsia" w:ascii="宋体" w:hAnsi="宋体" w:eastAsia="宋体"/>
          <w:color w:val="auto"/>
          <w:szCs w:val="21"/>
          <w:highlight w:val="none"/>
        </w:rPr>
        <w:fldChar w:fldCharType="end"/>
      </w:r>
    </w:p>
    <w:p w14:paraId="3D0883AC">
      <w:pPr>
        <w:pStyle w:val="23"/>
        <w:tabs>
          <w:tab w:val="right" w:leader="dot" w:pos="8306"/>
        </w:tabs>
      </w:pPr>
      <w:r>
        <w:rPr>
          <w:rFonts w:hint="eastAsia" w:ascii="宋体" w:hAnsi="宋体" w:eastAsia="宋体"/>
          <w:color w:val="auto"/>
          <w:szCs w:val="21"/>
          <w:highlight w:val="none"/>
        </w:rPr>
        <w:fldChar w:fldCharType="begin"/>
      </w:r>
      <w:r>
        <w:rPr>
          <w:rFonts w:hint="eastAsia" w:ascii="宋体" w:hAnsi="宋体" w:eastAsia="宋体"/>
          <w:szCs w:val="21"/>
          <w:highlight w:val="none"/>
        </w:rPr>
        <w:instrText xml:space="preserve"> HYPERLINK \l _Toc13931 </w:instrText>
      </w:r>
      <w:r>
        <w:rPr>
          <w:rFonts w:hint="eastAsia" w:ascii="宋体" w:hAnsi="宋体" w:eastAsia="宋体"/>
          <w:szCs w:val="21"/>
          <w:highlight w:val="none"/>
        </w:rPr>
        <w:fldChar w:fldCharType="separate"/>
      </w:r>
      <w:r>
        <w:rPr>
          <w:rFonts w:hint="eastAsia"/>
          <w:highlight w:val="none"/>
        </w:rPr>
        <w:t>第四章</w:t>
      </w:r>
      <w:r>
        <w:rPr>
          <w:highlight w:val="none"/>
        </w:rPr>
        <w:t xml:space="preserve"> </w:t>
      </w:r>
      <w:r>
        <w:rPr>
          <w:rFonts w:hint="eastAsia"/>
          <w:highlight w:val="none"/>
        </w:rPr>
        <w:t>合同条款及格式</w:t>
      </w:r>
      <w:r>
        <w:tab/>
      </w:r>
      <w:r>
        <w:fldChar w:fldCharType="begin"/>
      </w:r>
      <w:r>
        <w:instrText xml:space="preserve"> PAGEREF _Toc13931 \h </w:instrText>
      </w:r>
      <w:r>
        <w:fldChar w:fldCharType="separate"/>
      </w:r>
      <w:r>
        <w:t>35</w:t>
      </w:r>
      <w:r>
        <w:fldChar w:fldCharType="end"/>
      </w:r>
      <w:r>
        <w:rPr>
          <w:rFonts w:hint="eastAsia" w:ascii="宋体" w:hAnsi="宋体" w:eastAsia="宋体"/>
          <w:color w:val="auto"/>
          <w:szCs w:val="21"/>
          <w:highlight w:val="none"/>
        </w:rPr>
        <w:fldChar w:fldCharType="end"/>
      </w:r>
    </w:p>
    <w:p w14:paraId="51680619">
      <w:pPr>
        <w:pStyle w:val="23"/>
        <w:tabs>
          <w:tab w:val="right" w:leader="dot" w:pos="8306"/>
        </w:tabs>
      </w:pPr>
      <w:r>
        <w:rPr>
          <w:rFonts w:hint="eastAsia" w:ascii="宋体" w:hAnsi="宋体" w:eastAsia="宋体"/>
          <w:color w:val="auto"/>
          <w:szCs w:val="21"/>
          <w:highlight w:val="none"/>
        </w:rPr>
        <w:fldChar w:fldCharType="begin"/>
      </w:r>
      <w:r>
        <w:rPr>
          <w:rFonts w:hint="eastAsia" w:ascii="宋体" w:hAnsi="宋体" w:eastAsia="宋体"/>
          <w:szCs w:val="21"/>
          <w:highlight w:val="none"/>
        </w:rPr>
        <w:instrText xml:space="preserve"> HYPERLINK \l _Toc24530 </w:instrText>
      </w:r>
      <w:r>
        <w:rPr>
          <w:rFonts w:hint="eastAsia" w:ascii="宋体" w:hAnsi="宋体" w:eastAsia="宋体"/>
          <w:szCs w:val="21"/>
          <w:highlight w:val="none"/>
        </w:rPr>
        <w:fldChar w:fldCharType="separate"/>
      </w:r>
      <w:r>
        <w:rPr>
          <w:rFonts w:hint="eastAsia"/>
          <w:highlight w:val="none"/>
        </w:rPr>
        <w:t xml:space="preserve">第五章 </w:t>
      </w:r>
      <w:r>
        <w:rPr>
          <w:rFonts w:hint="eastAsia"/>
          <w:highlight w:val="none"/>
          <w:lang w:eastAsia="zh-CN"/>
        </w:rPr>
        <w:t>招标人需求</w:t>
      </w:r>
      <w:r>
        <w:tab/>
      </w:r>
      <w:r>
        <w:fldChar w:fldCharType="begin"/>
      </w:r>
      <w:r>
        <w:instrText xml:space="preserve"> PAGEREF _Toc24530 \h </w:instrText>
      </w:r>
      <w:r>
        <w:fldChar w:fldCharType="separate"/>
      </w:r>
      <w:r>
        <w:t>52</w:t>
      </w:r>
      <w:r>
        <w:fldChar w:fldCharType="end"/>
      </w:r>
      <w:r>
        <w:rPr>
          <w:rFonts w:hint="eastAsia" w:ascii="宋体" w:hAnsi="宋体" w:eastAsia="宋体"/>
          <w:color w:val="auto"/>
          <w:szCs w:val="21"/>
          <w:highlight w:val="none"/>
        </w:rPr>
        <w:fldChar w:fldCharType="end"/>
      </w:r>
    </w:p>
    <w:p w14:paraId="310C315A">
      <w:pPr>
        <w:pStyle w:val="23"/>
        <w:tabs>
          <w:tab w:val="right" w:leader="dot" w:pos="8306"/>
        </w:tabs>
      </w:pPr>
      <w:r>
        <w:rPr>
          <w:rFonts w:hint="eastAsia" w:ascii="宋体" w:hAnsi="宋体" w:eastAsia="宋体"/>
          <w:color w:val="auto"/>
          <w:szCs w:val="21"/>
          <w:highlight w:val="none"/>
        </w:rPr>
        <w:fldChar w:fldCharType="begin"/>
      </w:r>
      <w:r>
        <w:rPr>
          <w:rFonts w:hint="eastAsia" w:ascii="宋体" w:hAnsi="宋体" w:eastAsia="宋体"/>
          <w:szCs w:val="21"/>
          <w:highlight w:val="none"/>
        </w:rPr>
        <w:instrText xml:space="preserve"> HYPERLINK \l _Toc32562 </w:instrText>
      </w:r>
      <w:r>
        <w:rPr>
          <w:rFonts w:hint="eastAsia" w:ascii="宋体" w:hAnsi="宋体" w:eastAsia="宋体"/>
          <w:szCs w:val="21"/>
          <w:highlight w:val="none"/>
        </w:rPr>
        <w:fldChar w:fldCharType="separate"/>
      </w:r>
      <w:r>
        <w:rPr>
          <w:rFonts w:hint="eastAsia"/>
          <w:highlight w:val="none"/>
        </w:rPr>
        <w:t>第六章 投标文件格式</w:t>
      </w:r>
      <w:r>
        <w:tab/>
      </w:r>
      <w:r>
        <w:fldChar w:fldCharType="begin"/>
      </w:r>
      <w:r>
        <w:instrText xml:space="preserve"> PAGEREF _Toc32562 \h </w:instrText>
      </w:r>
      <w:r>
        <w:fldChar w:fldCharType="separate"/>
      </w:r>
      <w:r>
        <w:t>56</w:t>
      </w:r>
      <w:r>
        <w:fldChar w:fldCharType="end"/>
      </w:r>
      <w:r>
        <w:rPr>
          <w:rFonts w:hint="eastAsia" w:ascii="宋体" w:hAnsi="宋体" w:eastAsia="宋体"/>
          <w:color w:val="auto"/>
          <w:szCs w:val="21"/>
          <w:highlight w:val="none"/>
        </w:rPr>
        <w:fldChar w:fldCharType="end"/>
      </w:r>
    </w:p>
    <w:p w14:paraId="4F457C5C">
      <w:pPr>
        <w:pStyle w:val="23"/>
        <w:tabs>
          <w:tab w:val="right" w:leader="dot" w:pos="8306"/>
        </w:tabs>
      </w:pPr>
      <w:r>
        <w:rPr>
          <w:rFonts w:hint="eastAsia" w:ascii="宋体" w:hAnsi="宋体" w:eastAsia="宋体"/>
          <w:color w:val="auto"/>
          <w:szCs w:val="21"/>
          <w:highlight w:val="none"/>
        </w:rPr>
        <w:fldChar w:fldCharType="begin"/>
      </w:r>
      <w:r>
        <w:rPr>
          <w:rFonts w:hint="eastAsia" w:ascii="宋体" w:hAnsi="宋体" w:eastAsia="宋体"/>
          <w:szCs w:val="21"/>
          <w:highlight w:val="none"/>
        </w:rPr>
        <w:instrText xml:space="preserve"> HYPERLINK \l _Toc28341 </w:instrText>
      </w:r>
      <w:r>
        <w:rPr>
          <w:rFonts w:hint="eastAsia" w:ascii="宋体" w:hAnsi="宋体" w:eastAsia="宋体"/>
          <w:szCs w:val="21"/>
          <w:highlight w:val="none"/>
        </w:rPr>
        <w:fldChar w:fldCharType="separate"/>
      </w:r>
      <w:r>
        <w:rPr>
          <w:rFonts w:hint="eastAsia"/>
          <w:highlight w:val="none"/>
        </w:rPr>
        <w:t>第七章</w:t>
      </w:r>
      <w:r>
        <w:rPr>
          <w:highlight w:val="none"/>
        </w:rPr>
        <w:t xml:space="preserve"> </w:t>
      </w:r>
      <w:r>
        <w:rPr>
          <w:rFonts w:hint="eastAsia"/>
          <w:highlight w:val="none"/>
        </w:rPr>
        <w:t>否决性条款</w:t>
      </w:r>
      <w:r>
        <w:tab/>
      </w:r>
      <w:r>
        <w:fldChar w:fldCharType="begin"/>
      </w:r>
      <w:r>
        <w:instrText xml:space="preserve"> PAGEREF _Toc28341 \h </w:instrText>
      </w:r>
      <w:r>
        <w:fldChar w:fldCharType="separate"/>
      </w:r>
      <w:r>
        <w:t>69</w:t>
      </w:r>
      <w:r>
        <w:fldChar w:fldCharType="end"/>
      </w:r>
      <w:r>
        <w:rPr>
          <w:rFonts w:hint="eastAsia" w:ascii="宋体" w:hAnsi="宋体" w:eastAsia="宋体"/>
          <w:color w:val="auto"/>
          <w:szCs w:val="21"/>
          <w:highlight w:val="none"/>
        </w:rPr>
        <w:fldChar w:fldCharType="end"/>
      </w:r>
    </w:p>
    <w:p w14:paraId="76116F2F">
      <w:pPr>
        <w:rPr>
          <w:rFonts w:ascii="宋体" w:hAnsi="宋体" w:eastAsia="宋体"/>
          <w:color w:val="auto"/>
          <w:highlight w:val="none"/>
        </w:rPr>
        <w:sectPr>
          <w:footerReference r:id="rId3" w:type="default"/>
          <w:pgSz w:w="11906" w:h="16838"/>
          <w:pgMar w:top="1440" w:right="1800" w:bottom="1440" w:left="1800" w:header="720" w:footer="720" w:gutter="0"/>
          <w:pgBorders>
            <w:top w:val="none" w:sz="0" w:space="0"/>
            <w:left w:val="none" w:sz="0" w:space="0"/>
            <w:bottom w:val="none" w:sz="0" w:space="0"/>
            <w:right w:val="none" w:sz="0" w:space="0"/>
          </w:pgBorders>
          <w:pgNumType w:start="1"/>
          <w:cols w:space="720" w:num="1"/>
          <w:docGrid w:linePitch="285" w:charSpace="0"/>
        </w:sectPr>
      </w:pPr>
      <w:r>
        <w:rPr>
          <w:rFonts w:hint="eastAsia" w:ascii="宋体" w:hAnsi="宋体" w:eastAsia="宋体"/>
          <w:color w:val="auto"/>
          <w:szCs w:val="21"/>
          <w:highlight w:val="none"/>
        </w:rPr>
        <w:fldChar w:fldCharType="end"/>
      </w:r>
    </w:p>
    <w:p w14:paraId="39377563">
      <w:pPr>
        <w:pStyle w:val="2"/>
        <w:rPr>
          <w:color w:val="auto"/>
          <w:highlight w:val="none"/>
        </w:rPr>
      </w:pPr>
      <w:bookmarkStart w:id="1" w:name="_Toc138236318"/>
      <w:bookmarkStart w:id="2" w:name="_Toc14456"/>
      <w:r>
        <w:rPr>
          <w:rFonts w:hint="eastAsia"/>
          <w:color w:val="auto"/>
          <w:highlight w:val="none"/>
        </w:rPr>
        <w:t>第一章</w:t>
      </w:r>
      <w:r>
        <w:rPr>
          <w:color w:val="auto"/>
          <w:highlight w:val="none"/>
        </w:rPr>
        <w:t xml:space="preserve"> </w:t>
      </w:r>
      <w:r>
        <w:rPr>
          <w:rFonts w:hint="eastAsia"/>
          <w:color w:val="auto"/>
          <w:highlight w:val="none"/>
        </w:rPr>
        <w:t>招标公告</w:t>
      </w:r>
      <w:bookmarkEnd w:id="1"/>
      <w:bookmarkEnd w:id="2"/>
    </w:p>
    <w:p w14:paraId="5F75E0B8">
      <w:pPr>
        <w:spacing w:line="360" w:lineRule="auto"/>
        <w:jc w:val="center"/>
        <w:rPr>
          <w:rFonts w:ascii="宋体" w:hAnsi="宋体" w:eastAsia="宋体"/>
          <w:color w:val="auto"/>
          <w:sz w:val="24"/>
          <w:szCs w:val="24"/>
          <w:highlight w:val="none"/>
        </w:rPr>
      </w:pPr>
      <w:r>
        <w:rPr>
          <w:rFonts w:hint="eastAsia" w:ascii="宋体" w:hAnsi="宋体" w:eastAsia="宋体"/>
          <w:color w:val="auto"/>
          <w:sz w:val="24"/>
          <w:szCs w:val="24"/>
          <w:highlight w:val="none"/>
        </w:rPr>
        <w:t>另册</w:t>
      </w:r>
    </w:p>
    <w:p w14:paraId="605F6D69">
      <w:pPr>
        <w:spacing w:line="360" w:lineRule="auto"/>
        <w:jc w:val="center"/>
        <w:rPr>
          <w:rFonts w:ascii="宋体" w:hAnsi="宋体" w:eastAsia="宋体"/>
          <w:color w:val="auto"/>
          <w:sz w:val="24"/>
          <w:szCs w:val="24"/>
          <w:highlight w:val="none"/>
        </w:rPr>
      </w:pPr>
    </w:p>
    <w:p w14:paraId="4C33CF2F">
      <w:pPr>
        <w:pStyle w:val="2"/>
        <w:rPr>
          <w:color w:val="auto"/>
          <w:highlight w:val="none"/>
        </w:rPr>
      </w:pPr>
      <w:bookmarkStart w:id="3" w:name="_Toc2613"/>
      <w:bookmarkStart w:id="4" w:name="_Toc138236319"/>
      <w:r>
        <w:rPr>
          <w:rFonts w:hint="eastAsia"/>
          <w:color w:val="auto"/>
          <w:highlight w:val="none"/>
        </w:rPr>
        <w:t>第二章</w:t>
      </w:r>
      <w:r>
        <w:rPr>
          <w:color w:val="auto"/>
          <w:highlight w:val="none"/>
        </w:rPr>
        <w:t xml:space="preserve"> </w:t>
      </w:r>
      <w:r>
        <w:rPr>
          <w:rFonts w:hint="eastAsia"/>
          <w:color w:val="auto"/>
          <w:highlight w:val="none"/>
        </w:rPr>
        <w:t>投标人须知</w:t>
      </w:r>
      <w:bookmarkEnd w:id="3"/>
      <w:bookmarkEnd w:id="4"/>
    </w:p>
    <w:p w14:paraId="1540A93D">
      <w:pPr>
        <w:pStyle w:val="3"/>
        <w:jc w:val="center"/>
        <w:rPr>
          <w:color w:val="auto"/>
          <w:highlight w:val="none"/>
        </w:rPr>
      </w:pPr>
      <w:bookmarkStart w:id="5" w:name="_Toc138236320"/>
      <w:bookmarkStart w:id="6" w:name="_Toc29830"/>
      <w:r>
        <w:rPr>
          <w:rFonts w:hint="eastAsia"/>
          <w:color w:val="auto"/>
          <w:highlight w:val="none"/>
        </w:rPr>
        <w:t>投标人须知前附表</w:t>
      </w:r>
      <w:bookmarkEnd w:id="5"/>
      <w:bookmarkEnd w:id="6"/>
    </w:p>
    <w:tbl>
      <w:tblPr>
        <w:tblStyle w:val="32"/>
        <w:tblW w:w="9133" w:type="dxa"/>
        <w:tblInd w:w="-207"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45"/>
        <w:gridCol w:w="2100"/>
        <w:gridCol w:w="6088"/>
      </w:tblGrid>
      <w:tr w14:paraId="6147A7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7" w:hRule="atLeast"/>
          <w:tblHeader/>
        </w:trPr>
        <w:tc>
          <w:tcPr>
            <w:tcW w:w="945" w:type="dxa"/>
            <w:noWrap w:val="0"/>
            <w:vAlign w:val="center"/>
          </w:tcPr>
          <w:p w14:paraId="0ED87491">
            <w:pPr>
              <w:snapToGrid w:val="0"/>
              <w:spacing w:line="276" w:lineRule="auto"/>
              <w:jc w:val="center"/>
              <w:rPr>
                <w:rFonts w:ascii="宋体" w:hAnsi="宋体" w:eastAsia="宋体"/>
                <w:b/>
                <w:color w:val="auto"/>
                <w:szCs w:val="21"/>
                <w:highlight w:val="none"/>
              </w:rPr>
            </w:pPr>
            <w:r>
              <w:rPr>
                <w:rFonts w:hint="eastAsia" w:ascii="宋体" w:hAnsi="宋体" w:eastAsia="宋体"/>
                <w:b/>
                <w:color w:val="auto"/>
                <w:szCs w:val="21"/>
                <w:highlight w:val="none"/>
              </w:rPr>
              <w:t>条款号</w:t>
            </w:r>
          </w:p>
        </w:tc>
        <w:tc>
          <w:tcPr>
            <w:tcW w:w="2100" w:type="dxa"/>
            <w:noWrap w:val="0"/>
            <w:vAlign w:val="center"/>
          </w:tcPr>
          <w:p w14:paraId="66812926">
            <w:pPr>
              <w:snapToGrid w:val="0"/>
              <w:spacing w:line="276" w:lineRule="auto"/>
              <w:jc w:val="center"/>
              <w:rPr>
                <w:rFonts w:ascii="宋体" w:hAnsi="宋体" w:eastAsia="宋体"/>
                <w:b/>
                <w:color w:val="auto"/>
                <w:szCs w:val="21"/>
                <w:highlight w:val="none"/>
              </w:rPr>
            </w:pPr>
            <w:r>
              <w:rPr>
                <w:rFonts w:hint="eastAsia" w:ascii="宋体" w:hAnsi="宋体" w:eastAsia="宋体"/>
                <w:b/>
                <w:color w:val="auto"/>
                <w:szCs w:val="21"/>
                <w:highlight w:val="none"/>
              </w:rPr>
              <w:t>条款名称</w:t>
            </w:r>
          </w:p>
        </w:tc>
        <w:tc>
          <w:tcPr>
            <w:tcW w:w="6088" w:type="dxa"/>
            <w:noWrap w:val="0"/>
            <w:vAlign w:val="center"/>
          </w:tcPr>
          <w:p w14:paraId="5B6919C6">
            <w:pPr>
              <w:snapToGrid w:val="0"/>
              <w:spacing w:line="276" w:lineRule="auto"/>
              <w:jc w:val="center"/>
              <w:rPr>
                <w:rFonts w:ascii="宋体" w:hAnsi="宋体" w:eastAsia="宋体"/>
                <w:b/>
                <w:color w:val="auto"/>
                <w:szCs w:val="21"/>
                <w:highlight w:val="none"/>
              </w:rPr>
            </w:pPr>
            <w:r>
              <w:rPr>
                <w:rFonts w:hint="eastAsia" w:ascii="宋体" w:hAnsi="宋体" w:eastAsia="宋体"/>
                <w:b/>
                <w:color w:val="auto"/>
                <w:szCs w:val="21"/>
                <w:highlight w:val="none"/>
              </w:rPr>
              <w:t>编列内容</w:t>
            </w:r>
          </w:p>
        </w:tc>
      </w:tr>
      <w:tr w14:paraId="49D4C6E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29" w:hRule="atLeast"/>
        </w:trPr>
        <w:tc>
          <w:tcPr>
            <w:tcW w:w="945" w:type="dxa"/>
            <w:noWrap w:val="0"/>
            <w:vAlign w:val="center"/>
          </w:tcPr>
          <w:p w14:paraId="755D90A9">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1.1.2</w:t>
            </w:r>
          </w:p>
        </w:tc>
        <w:tc>
          <w:tcPr>
            <w:tcW w:w="2100" w:type="dxa"/>
            <w:noWrap w:val="0"/>
            <w:vAlign w:val="center"/>
          </w:tcPr>
          <w:p w14:paraId="3E09983B">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招标人</w:t>
            </w:r>
          </w:p>
        </w:tc>
        <w:tc>
          <w:tcPr>
            <w:tcW w:w="6088" w:type="dxa"/>
            <w:noWrap w:val="0"/>
            <w:vAlign w:val="center"/>
          </w:tcPr>
          <w:p w14:paraId="57D9B861">
            <w:pPr>
              <w:snapToGrid w:val="0"/>
              <w:spacing w:line="276" w:lineRule="auto"/>
              <w:ind w:left="630" w:hanging="630" w:hangingChars="300"/>
              <w:rPr>
                <w:rFonts w:ascii="宋体" w:hAnsi="宋体" w:eastAsia="宋体"/>
                <w:color w:val="auto"/>
                <w:szCs w:val="21"/>
                <w:highlight w:val="none"/>
              </w:rPr>
            </w:pPr>
            <w:r>
              <w:rPr>
                <w:rFonts w:hint="eastAsia" w:ascii="宋体" w:hAnsi="宋体" w:eastAsia="宋体"/>
                <w:color w:val="auto"/>
                <w:szCs w:val="21"/>
                <w:highlight w:val="none"/>
              </w:rPr>
              <w:t>名称：</w:t>
            </w:r>
            <w:r>
              <w:rPr>
                <w:rFonts w:hint="eastAsia" w:ascii="宋体" w:hAnsi="宋体" w:eastAsia="宋体"/>
                <w:color w:val="auto"/>
                <w:szCs w:val="21"/>
                <w:highlight w:val="none"/>
                <w:u w:val="single"/>
                <w:lang w:val="zh-CN"/>
              </w:rPr>
              <w:t>广东南传广场开发有限公司</w:t>
            </w:r>
          </w:p>
          <w:p w14:paraId="66328797">
            <w:pPr>
              <w:snapToGrid w:val="0"/>
              <w:spacing w:line="276" w:lineRule="auto"/>
              <w:ind w:left="630" w:hanging="630" w:hangingChars="300"/>
              <w:rPr>
                <w:rFonts w:hint="eastAsia" w:ascii="宋体" w:hAnsi="宋体" w:eastAsia="宋体"/>
                <w:color w:val="auto"/>
                <w:szCs w:val="21"/>
                <w:highlight w:val="none"/>
              </w:rPr>
            </w:pPr>
            <w:r>
              <w:rPr>
                <w:rFonts w:hint="eastAsia" w:ascii="宋体" w:hAnsi="宋体" w:eastAsia="宋体"/>
                <w:color w:val="auto"/>
                <w:szCs w:val="21"/>
                <w:highlight w:val="none"/>
              </w:rPr>
              <w:t>地址：</w:t>
            </w:r>
            <w:r>
              <w:rPr>
                <w:rFonts w:hint="eastAsia" w:ascii="宋体" w:hAnsi="宋体" w:eastAsia="宋体"/>
                <w:color w:val="auto"/>
                <w:szCs w:val="21"/>
                <w:highlight w:val="none"/>
                <w:u w:val="single"/>
              </w:rPr>
              <w:t>广州市天河区中山大道中1242号广东数字文化谷4楼</w:t>
            </w:r>
          </w:p>
          <w:p w14:paraId="6617B2FA">
            <w:pPr>
              <w:snapToGrid w:val="0"/>
              <w:spacing w:line="276" w:lineRule="auto"/>
              <w:ind w:left="630" w:hanging="630" w:hangingChars="300"/>
              <w:rPr>
                <w:rFonts w:ascii="宋体" w:hAnsi="宋体" w:eastAsia="宋体"/>
                <w:color w:val="auto"/>
                <w:szCs w:val="21"/>
                <w:highlight w:val="none"/>
              </w:rPr>
            </w:pPr>
            <w:r>
              <w:rPr>
                <w:rFonts w:hint="eastAsia" w:ascii="宋体" w:hAnsi="宋体" w:eastAsia="宋体"/>
                <w:color w:val="auto"/>
                <w:szCs w:val="21"/>
                <w:highlight w:val="none"/>
              </w:rPr>
              <w:t>联系人：</w:t>
            </w:r>
            <w:r>
              <w:rPr>
                <w:rFonts w:hint="eastAsia" w:ascii="宋体" w:hAnsi="宋体" w:eastAsia="宋体"/>
                <w:color w:val="auto"/>
                <w:szCs w:val="21"/>
                <w:highlight w:val="none"/>
                <w:u w:val="single"/>
              </w:rPr>
              <w:t>李工</w:t>
            </w:r>
          </w:p>
          <w:p w14:paraId="29C06E71">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联系电话：</w:t>
            </w:r>
            <w:r>
              <w:rPr>
                <w:rFonts w:hint="eastAsia" w:ascii="宋体" w:hAnsi="宋体" w:eastAsia="宋体"/>
                <w:color w:val="auto"/>
                <w:szCs w:val="21"/>
                <w:highlight w:val="none"/>
                <w:u w:val="single"/>
              </w:rPr>
              <w:t>020-32016808-868</w:t>
            </w:r>
          </w:p>
        </w:tc>
      </w:tr>
      <w:tr w14:paraId="3BE17DC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13" w:hRule="atLeast"/>
        </w:trPr>
        <w:tc>
          <w:tcPr>
            <w:tcW w:w="945" w:type="dxa"/>
            <w:noWrap w:val="0"/>
            <w:vAlign w:val="center"/>
          </w:tcPr>
          <w:p w14:paraId="6AFF978B">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1.1.3</w:t>
            </w:r>
          </w:p>
        </w:tc>
        <w:tc>
          <w:tcPr>
            <w:tcW w:w="2100" w:type="dxa"/>
            <w:noWrap w:val="0"/>
            <w:vAlign w:val="center"/>
          </w:tcPr>
          <w:p w14:paraId="5B7C356F">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招标代理机构</w:t>
            </w:r>
          </w:p>
        </w:tc>
        <w:tc>
          <w:tcPr>
            <w:tcW w:w="6088" w:type="dxa"/>
            <w:noWrap w:val="0"/>
            <w:vAlign w:val="center"/>
          </w:tcPr>
          <w:p w14:paraId="0FE349F1">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名称：</w:t>
            </w:r>
            <w:r>
              <w:rPr>
                <w:rFonts w:hint="eastAsia" w:ascii="宋体" w:hAnsi="宋体" w:eastAsia="宋体"/>
                <w:color w:val="auto"/>
                <w:szCs w:val="21"/>
                <w:highlight w:val="none"/>
                <w:u w:val="single"/>
                <w:lang w:val="zh-CN"/>
              </w:rPr>
              <w:t>广州建筑工程监理有限公司</w:t>
            </w:r>
          </w:p>
          <w:p w14:paraId="2930FCA5">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地址：</w:t>
            </w:r>
            <w:r>
              <w:rPr>
                <w:rFonts w:hint="eastAsia" w:ascii="宋体" w:hAnsi="宋体" w:eastAsia="宋体"/>
                <w:color w:val="auto"/>
                <w:szCs w:val="21"/>
                <w:highlight w:val="none"/>
                <w:u w:val="single"/>
                <w:lang w:val="zh-CN"/>
              </w:rPr>
              <w:t>广州市越秀区广卫路</w:t>
            </w:r>
            <w:r>
              <w:rPr>
                <w:rFonts w:ascii="宋体" w:hAnsi="宋体" w:eastAsia="宋体"/>
                <w:color w:val="auto"/>
                <w:szCs w:val="21"/>
                <w:highlight w:val="none"/>
                <w:u w:val="single"/>
                <w:lang w:val="zh-CN"/>
              </w:rPr>
              <w:t>4号建工大厦18楼招标代理部</w:t>
            </w:r>
          </w:p>
          <w:p w14:paraId="6DAA9348">
            <w:pPr>
              <w:snapToGrid w:val="0"/>
              <w:spacing w:line="276" w:lineRule="auto"/>
              <w:rPr>
                <w:rFonts w:ascii="宋体" w:hAnsi="宋体" w:eastAsia="宋体"/>
                <w:color w:val="auto"/>
                <w:szCs w:val="21"/>
                <w:highlight w:val="none"/>
                <w:lang w:val="zh-CN"/>
              </w:rPr>
            </w:pPr>
            <w:r>
              <w:rPr>
                <w:rFonts w:hint="eastAsia" w:ascii="宋体" w:hAnsi="宋体" w:eastAsia="宋体"/>
                <w:color w:val="auto"/>
                <w:szCs w:val="21"/>
                <w:highlight w:val="none"/>
              </w:rPr>
              <w:t>联</w:t>
            </w:r>
            <w:r>
              <w:rPr>
                <w:rFonts w:hint="eastAsia" w:ascii="宋体" w:hAnsi="宋体" w:eastAsia="宋体"/>
                <w:color w:val="auto"/>
                <w:szCs w:val="21"/>
                <w:highlight w:val="none"/>
                <w:lang w:val="zh-CN"/>
              </w:rPr>
              <w:t>系人：</w:t>
            </w:r>
            <w:r>
              <w:rPr>
                <w:rFonts w:hint="eastAsia" w:ascii="宋体" w:hAnsi="宋体" w:eastAsia="宋体"/>
                <w:color w:val="auto"/>
                <w:szCs w:val="21"/>
                <w:highlight w:val="none"/>
              </w:rPr>
              <w:t>吴</w:t>
            </w:r>
            <w:r>
              <w:rPr>
                <w:rFonts w:hint="eastAsia" w:ascii="宋体" w:hAnsi="宋体" w:eastAsia="宋体"/>
                <w:color w:val="auto"/>
                <w:szCs w:val="21"/>
                <w:highlight w:val="none"/>
                <w:u w:val="single"/>
                <w:lang w:val="zh-CN"/>
              </w:rPr>
              <w:t>工</w:t>
            </w:r>
          </w:p>
          <w:p w14:paraId="3318F612">
            <w:pPr>
              <w:snapToGrid w:val="0"/>
              <w:spacing w:line="276" w:lineRule="auto"/>
              <w:rPr>
                <w:rFonts w:hint="eastAsia" w:ascii="宋体" w:hAnsi="宋体" w:eastAsia="宋体"/>
                <w:color w:val="auto"/>
                <w:szCs w:val="21"/>
                <w:highlight w:val="none"/>
              </w:rPr>
            </w:pPr>
            <w:r>
              <w:rPr>
                <w:rFonts w:hint="eastAsia" w:ascii="宋体" w:hAnsi="宋体" w:eastAsia="宋体"/>
                <w:color w:val="auto"/>
                <w:szCs w:val="21"/>
                <w:highlight w:val="none"/>
                <w:lang w:val="zh-CN"/>
              </w:rPr>
              <w:t>电话：</w:t>
            </w:r>
            <w:r>
              <w:rPr>
                <w:rFonts w:ascii="宋体" w:hAnsi="宋体" w:eastAsia="宋体"/>
                <w:color w:val="auto"/>
                <w:szCs w:val="21"/>
                <w:highlight w:val="none"/>
                <w:u w:val="single"/>
                <w:lang w:val="zh-CN"/>
              </w:rPr>
              <w:t>020-61101333-186</w:t>
            </w:r>
            <w:r>
              <w:rPr>
                <w:rFonts w:hint="eastAsia" w:ascii="宋体" w:hAnsi="宋体" w:eastAsia="宋体"/>
                <w:color w:val="auto"/>
                <w:szCs w:val="21"/>
                <w:highlight w:val="none"/>
                <w:u w:val="single"/>
              </w:rPr>
              <w:t>8</w:t>
            </w:r>
          </w:p>
        </w:tc>
      </w:tr>
      <w:tr w14:paraId="296B9D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945" w:type="dxa"/>
            <w:noWrap w:val="0"/>
            <w:vAlign w:val="center"/>
          </w:tcPr>
          <w:p w14:paraId="2B197516">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1.1.4</w:t>
            </w:r>
          </w:p>
        </w:tc>
        <w:tc>
          <w:tcPr>
            <w:tcW w:w="2100" w:type="dxa"/>
            <w:noWrap w:val="0"/>
            <w:vAlign w:val="center"/>
          </w:tcPr>
          <w:p w14:paraId="0EBFC5FA">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招标项目名称</w:t>
            </w:r>
          </w:p>
        </w:tc>
        <w:tc>
          <w:tcPr>
            <w:tcW w:w="6088" w:type="dxa"/>
            <w:noWrap w:val="0"/>
            <w:vAlign w:val="center"/>
          </w:tcPr>
          <w:p w14:paraId="41AE4ABA">
            <w:pPr>
              <w:snapToGrid w:val="0"/>
              <w:spacing w:line="276" w:lineRule="auto"/>
              <w:jc w:val="left"/>
              <w:rPr>
                <w:rFonts w:hint="eastAsia" w:ascii="宋体" w:hAnsi="宋体" w:eastAsia="宋体"/>
                <w:color w:val="auto"/>
                <w:szCs w:val="21"/>
                <w:highlight w:val="none"/>
                <w:lang w:eastAsia="zh-CN"/>
              </w:rPr>
            </w:pPr>
            <w:r>
              <w:rPr>
                <w:rFonts w:hint="eastAsia" w:ascii="宋体" w:hAnsi="宋体" w:eastAsia="宋体"/>
                <w:color w:val="auto"/>
                <w:szCs w:val="21"/>
                <w:highlight w:val="none"/>
                <w:lang w:eastAsia="zh-CN"/>
              </w:rPr>
              <w:t>广州国际文化中心营销策划顾问及首席租赁代理服务（第三次招标）</w:t>
            </w:r>
          </w:p>
        </w:tc>
      </w:tr>
      <w:tr w14:paraId="4A507C0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7" w:hRule="atLeast"/>
        </w:trPr>
        <w:tc>
          <w:tcPr>
            <w:tcW w:w="945" w:type="dxa"/>
            <w:noWrap w:val="0"/>
            <w:vAlign w:val="center"/>
          </w:tcPr>
          <w:p w14:paraId="7694A63F">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1.1.5</w:t>
            </w:r>
          </w:p>
        </w:tc>
        <w:tc>
          <w:tcPr>
            <w:tcW w:w="2100" w:type="dxa"/>
            <w:noWrap w:val="0"/>
            <w:vAlign w:val="center"/>
          </w:tcPr>
          <w:p w14:paraId="557BB199">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项目地点</w:t>
            </w:r>
          </w:p>
        </w:tc>
        <w:tc>
          <w:tcPr>
            <w:tcW w:w="6088" w:type="dxa"/>
            <w:noWrap w:val="0"/>
            <w:vAlign w:val="center"/>
          </w:tcPr>
          <w:p w14:paraId="76081C1C">
            <w:pPr>
              <w:snapToGrid w:val="0"/>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详见招标公告</w:t>
            </w:r>
          </w:p>
        </w:tc>
      </w:tr>
      <w:tr w14:paraId="2093DA2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945" w:type="dxa"/>
            <w:noWrap w:val="0"/>
            <w:vAlign w:val="center"/>
          </w:tcPr>
          <w:p w14:paraId="28C9D426">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1.1.6</w:t>
            </w:r>
          </w:p>
        </w:tc>
        <w:tc>
          <w:tcPr>
            <w:tcW w:w="2100" w:type="dxa"/>
            <w:noWrap w:val="0"/>
            <w:vAlign w:val="center"/>
          </w:tcPr>
          <w:p w14:paraId="52879B55">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项目规模</w:t>
            </w:r>
          </w:p>
        </w:tc>
        <w:tc>
          <w:tcPr>
            <w:tcW w:w="6088" w:type="dxa"/>
            <w:noWrap w:val="0"/>
            <w:vAlign w:val="top"/>
          </w:tcPr>
          <w:p w14:paraId="14199526">
            <w:pPr>
              <w:snapToGrid w:val="0"/>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详见招标公告</w:t>
            </w:r>
          </w:p>
        </w:tc>
      </w:tr>
      <w:tr w14:paraId="4C9E937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945" w:type="dxa"/>
            <w:noWrap w:val="0"/>
            <w:vAlign w:val="center"/>
          </w:tcPr>
          <w:p w14:paraId="09368590">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1.2.1</w:t>
            </w:r>
          </w:p>
        </w:tc>
        <w:tc>
          <w:tcPr>
            <w:tcW w:w="2100" w:type="dxa"/>
            <w:noWrap w:val="0"/>
            <w:vAlign w:val="center"/>
          </w:tcPr>
          <w:p w14:paraId="30722E5F">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资金来源及比例</w:t>
            </w:r>
          </w:p>
        </w:tc>
        <w:tc>
          <w:tcPr>
            <w:tcW w:w="6088" w:type="dxa"/>
            <w:noWrap w:val="0"/>
            <w:vAlign w:val="center"/>
          </w:tcPr>
          <w:p w14:paraId="0B63798C">
            <w:pPr>
              <w:snapToGrid w:val="0"/>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详见招标公告</w:t>
            </w:r>
          </w:p>
        </w:tc>
      </w:tr>
      <w:tr w14:paraId="59D1FED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8" w:hRule="atLeast"/>
        </w:trPr>
        <w:tc>
          <w:tcPr>
            <w:tcW w:w="945" w:type="dxa"/>
            <w:noWrap w:val="0"/>
            <w:vAlign w:val="center"/>
          </w:tcPr>
          <w:p w14:paraId="45B5CD27">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1.2.2</w:t>
            </w:r>
          </w:p>
        </w:tc>
        <w:tc>
          <w:tcPr>
            <w:tcW w:w="2100" w:type="dxa"/>
            <w:noWrap w:val="0"/>
            <w:vAlign w:val="center"/>
          </w:tcPr>
          <w:p w14:paraId="2B30EDC2">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资金落实情况</w:t>
            </w:r>
          </w:p>
        </w:tc>
        <w:tc>
          <w:tcPr>
            <w:tcW w:w="6088" w:type="dxa"/>
            <w:noWrap w:val="0"/>
            <w:vAlign w:val="center"/>
          </w:tcPr>
          <w:p w14:paraId="60E1811E">
            <w:pPr>
              <w:snapToGrid w:val="0"/>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已落实</w:t>
            </w:r>
          </w:p>
        </w:tc>
      </w:tr>
      <w:tr w14:paraId="76F0F41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3" w:hRule="atLeast"/>
        </w:trPr>
        <w:tc>
          <w:tcPr>
            <w:tcW w:w="945" w:type="dxa"/>
            <w:noWrap w:val="0"/>
            <w:vAlign w:val="center"/>
          </w:tcPr>
          <w:p w14:paraId="39ED36E6">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1.3.1</w:t>
            </w:r>
          </w:p>
        </w:tc>
        <w:tc>
          <w:tcPr>
            <w:tcW w:w="2100" w:type="dxa"/>
            <w:noWrap w:val="0"/>
            <w:vAlign w:val="center"/>
          </w:tcPr>
          <w:p w14:paraId="6F698B62">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招标范围</w:t>
            </w:r>
          </w:p>
        </w:tc>
        <w:tc>
          <w:tcPr>
            <w:tcW w:w="6088" w:type="dxa"/>
            <w:noWrap w:val="0"/>
            <w:vAlign w:val="top"/>
          </w:tcPr>
          <w:p w14:paraId="63C923F9">
            <w:pPr>
              <w:snapToGrid w:val="0"/>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详见招标公告</w:t>
            </w:r>
          </w:p>
        </w:tc>
      </w:tr>
      <w:tr w14:paraId="2935096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7" w:hRule="atLeast"/>
        </w:trPr>
        <w:tc>
          <w:tcPr>
            <w:tcW w:w="945" w:type="dxa"/>
            <w:noWrap w:val="0"/>
            <w:vAlign w:val="center"/>
          </w:tcPr>
          <w:p w14:paraId="565CEAC7">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1.3.2</w:t>
            </w:r>
          </w:p>
        </w:tc>
        <w:tc>
          <w:tcPr>
            <w:tcW w:w="2100" w:type="dxa"/>
            <w:noWrap w:val="0"/>
            <w:vAlign w:val="center"/>
          </w:tcPr>
          <w:p w14:paraId="241A1EFC">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服务期限</w:t>
            </w:r>
          </w:p>
        </w:tc>
        <w:tc>
          <w:tcPr>
            <w:tcW w:w="6088" w:type="dxa"/>
            <w:noWrap w:val="0"/>
            <w:vAlign w:val="top"/>
          </w:tcPr>
          <w:p w14:paraId="6738E0B5">
            <w:pPr>
              <w:snapToGrid w:val="0"/>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详见招标公告</w:t>
            </w:r>
          </w:p>
        </w:tc>
      </w:tr>
      <w:tr w14:paraId="60C5EFD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45" w:type="dxa"/>
            <w:noWrap w:val="0"/>
            <w:vAlign w:val="center"/>
          </w:tcPr>
          <w:p w14:paraId="4A0C062D">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1.3.3</w:t>
            </w:r>
          </w:p>
        </w:tc>
        <w:tc>
          <w:tcPr>
            <w:tcW w:w="2100" w:type="dxa"/>
            <w:noWrap w:val="0"/>
            <w:vAlign w:val="center"/>
          </w:tcPr>
          <w:p w14:paraId="41992DFC">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质量标准</w:t>
            </w:r>
          </w:p>
        </w:tc>
        <w:tc>
          <w:tcPr>
            <w:tcW w:w="6088" w:type="dxa"/>
            <w:noWrap w:val="0"/>
            <w:vAlign w:val="center"/>
          </w:tcPr>
          <w:p w14:paraId="7587119C">
            <w:pPr>
              <w:pStyle w:val="30"/>
              <w:snapToGrid w:val="0"/>
              <w:spacing w:after="0" w:line="276" w:lineRule="auto"/>
              <w:ind w:firstLine="0"/>
              <w:rPr>
                <w:rFonts w:ascii="宋体" w:hAnsi="宋体"/>
                <w:color w:val="auto"/>
                <w:szCs w:val="21"/>
                <w:highlight w:val="none"/>
              </w:rPr>
            </w:pPr>
            <w:r>
              <w:rPr>
                <w:rFonts w:hint="eastAsia" w:ascii="宋体" w:hAnsi="宋体"/>
                <w:color w:val="auto"/>
                <w:szCs w:val="21"/>
                <w:highlight w:val="none"/>
              </w:rPr>
              <w:t>符合国家及</w:t>
            </w:r>
            <w:r>
              <w:rPr>
                <w:rFonts w:hint="eastAsia" w:ascii="宋体" w:hAnsi="宋体"/>
                <w:color w:val="auto"/>
                <w:szCs w:val="21"/>
                <w:highlight w:val="none"/>
                <w:lang w:val="en-US" w:eastAsia="zh-CN"/>
              </w:rPr>
              <w:t>广东</w:t>
            </w:r>
            <w:r>
              <w:rPr>
                <w:rFonts w:hint="eastAsia" w:ascii="宋体" w:hAnsi="宋体"/>
                <w:color w:val="auto"/>
                <w:szCs w:val="21"/>
                <w:highlight w:val="none"/>
              </w:rPr>
              <w:t>省、</w:t>
            </w:r>
            <w:r>
              <w:rPr>
                <w:rFonts w:hint="eastAsia" w:ascii="宋体" w:hAnsi="宋体"/>
                <w:color w:val="auto"/>
                <w:szCs w:val="21"/>
                <w:highlight w:val="none"/>
                <w:lang w:val="en-US" w:eastAsia="zh-CN"/>
              </w:rPr>
              <w:t>广州</w:t>
            </w:r>
            <w:r>
              <w:rPr>
                <w:rFonts w:hint="eastAsia" w:ascii="宋体" w:hAnsi="宋体"/>
                <w:color w:val="auto"/>
                <w:szCs w:val="21"/>
                <w:highlight w:val="none"/>
              </w:rPr>
              <w:t>市有关标准。</w:t>
            </w:r>
          </w:p>
        </w:tc>
      </w:tr>
      <w:tr w14:paraId="56D32E4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64" w:hRule="atLeast"/>
        </w:trPr>
        <w:tc>
          <w:tcPr>
            <w:tcW w:w="945" w:type="dxa"/>
            <w:noWrap w:val="0"/>
            <w:vAlign w:val="center"/>
          </w:tcPr>
          <w:p w14:paraId="3D001B7B">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1.4.1</w:t>
            </w:r>
          </w:p>
        </w:tc>
        <w:tc>
          <w:tcPr>
            <w:tcW w:w="2100" w:type="dxa"/>
            <w:noWrap w:val="0"/>
            <w:vAlign w:val="center"/>
          </w:tcPr>
          <w:p w14:paraId="18ED44E5">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投标人资质条件、能力、信誉</w:t>
            </w:r>
          </w:p>
        </w:tc>
        <w:tc>
          <w:tcPr>
            <w:tcW w:w="6088" w:type="dxa"/>
            <w:noWrap w:val="0"/>
            <w:vAlign w:val="center"/>
          </w:tcPr>
          <w:p w14:paraId="47A27FB7">
            <w:pPr>
              <w:snapToGrid w:val="0"/>
              <w:spacing w:line="276" w:lineRule="auto"/>
              <w:ind w:left="212" w:leftChars="1" w:hanging="210" w:hangingChars="1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1）资质要求：/；</w:t>
            </w:r>
          </w:p>
          <w:p w14:paraId="3369E3F1">
            <w:pPr>
              <w:snapToGrid w:val="0"/>
              <w:spacing w:line="276" w:lineRule="auto"/>
              <w:ind w:left="212" w:leftChars="1" w:hanging="210" w:hangingChars="1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2）财务要求：/；</w:t>
            </w:r>
          </w:p>
          <w:p w14:paraId="2EE7C964">
            <w:pPr>
              <w:snapToGrid w:val="0"/>
              <w:spacing w:line="276" w:lineRule="auto"/>
              <w:ind w:left="212" w:leftChars="1" w:hanging="210" w:hangingChars="1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3）业绩要求：</w:t>
            </w:r>
            <w:r>
              <w:rPr>
                <w:rFonts w:hint="eastAsia" w:ascii="宋体" w:hAnsi="宋体" w:eastAsia="宋体"/>
                <w:color w:val="auto"/>
                <w:szCs w:val="21"/>
                <w:highlight w:val="none"/>
              </w:rPr>
              <w:t>见招标公告投标人资格要求</w:t>
            </w:r>
            <w:r>
              <w:rPr>
                <w:rFonts w:ascii="宋体" w:hAnsi="宋体" w:eastAsia="宋体"/>
                <w:color w:val="auto"/>
                <w:szCs w:val="21"/>
                <w:highlight w:val="none"/>
              </w:rPr>
              <w:t>；</w:t>
            </w:r>
          </w:p>
          <w:p w14:paraId="5A400692">
            <w:pPr>
              <w:snapToGrid w:val="0"/>
              <w:spacing w:line="276" w:lineRule="auto"/>
              <w:ind w:left="212" w:leftChars="1" w:hanging="210" w:hangingChars="1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4）信誉要求：/；</w:t>
            </w:r>
          </w:p>
          <w:p w14:paraId="604C0DAD">
            <w:pPr>
              <w:snapToGrid w:val="0"/>
              <w:spacing w:line="276" w:lineRule="auto"/>
              <w:ind w:left="212" w:leftChars="1" w:hanging="210" w:hangingChars="1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5）项目负责人的资格要求：/；</w:t>
            </w:r>
          </w:p>
          <w:p w14:paraId="7188E800">
            <w:pPr>
              <w:snapToGrid w:val="0"/>
              <w:spacing w:line="276" w:lineRule="auto"/>
              <w:ind w:left="212" w:leftChars="1" w:hanging="210" w:hangingChars="1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6）其他主要人员要求：/；</w:t>
            </w:r>
          </w:p>
          <w:p w14:paraId="3B4B66E6">
            <w:pPr>
              <w:snapToGrid w:val="0"/>
              <w:spacing w:line="276" w:lineRule="auto"/>
              <w:ind w:left="212" w:leftChars="1" w:hanging="210" w:hangingChars="100"/>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7）试验监测仪器设备要求：/；</w:t>
            </w:r>
          </w:p>
          <w:p w14:paraId="128FF0A3">
            <w:pPr>
              <w:snapToGrid w:val="0"/>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w:t>
            </w:r>
            <w:r>
              <w:rPr>
                <w:rFonts w:ascii="宋体" w:hAnsi="宋体" w:eastAsia="宋体"/>
                <w:color w:val="auto"/>
                <w:szCs w:val="21"/>
                <w:highlight w:val="none"/>
              </w:rPr>
              <w:t>8）其他要求：</w:t>
            </w:r>
            <w:r>
              <w:rPr>
                <w:rFonts w:hint="eastAsia" w:ascii="宋体" w:hAnsi="宋体" w:eastAsia="宋体"/>
                <w:color w:val="auto"/>
                <w:szCs w:val="21"/>
                <w:highlight w:val="none"/>
                <w:u w:val="single"/>
              </w:rPr>
              <w:t>见招标公告投标人资格要求；</w:t>
            </w:r>
          </w:p>
        </w:tc>
      </w:tr>
      <w:tr w14:paraId="0EC172F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trPr>
        <w:tc>
          <w:tcPr>
            <w:tcW w:w="945" w:type="dxa"/>
            <w:noWrap w:val="0"/>
            <w:vAlign w:val="center"/>
          </w:tcPr>
          <w:p w14:paraId="38CE5682">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1.4.2</w:t>
            </w:r>
          </w:p>
        </w:tc>
        <w:tc>
          <w:tcPr>
            <w:tcW w:w="2100" w:type="dxa"/>
            <w:noWrap w:val="0"/>
            <w:vAlign w:val="center"/>
          </w:tcPr>
          <w:p w14:paraId="5BD3EC26">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是否接受联合体投标</w:t>
            </w:r>
          </w:p>
        </w:tc>
        <w:tc>
          <w:tcPr>
            <w:tcW w:w="6088" w:type="dxa"/>
            <w:noWrap w:val="0"/>
            <w:vAlign w:val="center"/>
          </w:tcPr>
          <w:p w14:paraId="5A33C3F6">
            <w:pPr>
              <w:topLinePunct/>
              <w:spacing w:line="276" w:lineRule="auto"/>
              <w:rPr>
                <w:rFonts w:ascii="宋体" w:hAnsi="宋体" w:eastAsia="宋体"/>
                <w:color w:val="auto"/>
                <w:szCs w:val="21"/>
                <w:highlight w:val="none"/>
              </w:rPr>
            </w:pPr>
            <w:r>
              <w:rPr>
                <w:rFonts w:hint="eastAsia" w:ascii="宋体" w:hAnsi="宋体" w:eastAsia="宋体"/>
                <w:color w:val="auto"/>
                <w:szCs w:val="21"/>
                <w:highlight w:val="none"/>
              </w:rPr>
              <w:sym w:font="Wingdings" w:char="00FE"/>
            </w:r>
            <w:r>
              <w:rPr>
                <w:rFonts w:hint="eastAsia" w:ascii="宋体" w:hAnsi="宋体" w:eastAsia="宋体"/>
                <w:color w:val="auto"/>
                <w:szCs w:val="21"/>
                <w:highlight w:val="none"/>
              </w:rPr>
              <w:t>不接受。</w:t>
            </w:r>
          </w:p>
          <w:p w14:paraId="491C1320">
            <w:pPr>
              <w:spacing w:line="276" w:lineRule="auto"/>
              <w:rPr>
                <w:rFonts w:ascii="宋体" w:hAnsi="宋体" w:eastAsia="宋体"/>
                <w:color w:val="auto"/>
                <w:szCs w:val="21"/>
                <w:highlight w:val="none"/>
              </w:rPr>
            </w:pPr>
            <w:r>
              <w:rPr>
                <w:rFonts w:hint="eastAsia" w:ascii="宋体" w:hAnsi="宋体" w:eastAsia="宋体"/>
                <w:b/>
                <w:color w:val="auto"/>
                <w:szCs w:val="21"/>
                <w:highlight w:val="none"/>
              </w:rPr>
              <w:t>□</w:t>
            </w:r>
            <w:r>
              <w:rPr>
                <w:rFonts w:ascii="宋体" w:hAnsi="宋体" w:eastAsia="宋体"/>
                <w:color w:val="auto"/>
                <w:szCs w:val="21"/>
                <w:highlight w:val="none"/>
              </w:rPr>
              <w:t xml:space="preserve"> 接受，符合招标公告要求。</w:t>
            </w:r>
          </w:p>
        </w:tc>
      </w:tr>
      <w:tr w14:paraId="2438509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45" w:type="dxa"/>
            <w:noWrap w:val="0"/>
            <w:vAlign w:val="center"/>
          </w:tcPr>
          <w:p w14:paraId="5CD8134F">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1.4.3</w:t>
            </w:r>
          </w:p>
        </w:tc>
        <w:tc>
          <w:tcPr>
            <w:tcW w:w="2100" w:type="dxa"/>
            <w:noWrap w:val="0"/>
            <w:vAlign w:val="center"/>
          </w:tcPr>
          <w:p w14:paraId="45E59ED5">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投标人不得存在的其他情形</w:t>
            </w:r>
          </w:p>
        </w:tc>
        <w:tc>
          <w:tcPr>
            <w:tcW w:w="6088" w:type="dxa"/>
            <w:noWrap w:val="0"/>
            <w:vAlign w:val="center"/>
          </w:tcPr>
          <w:p w14:paraId="72C533CC">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w:t>
            </w:r>
          </w:p>
        </w:tc>
      </w:tr>
      <w:tr w14:paraId="310F68E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3" w:hRule="atLeast"/>
        </w:trPr>
        <w:tc>
          <w:tcPr>
            <w:tcW w:w="945" w:type="dxa"/>
            <w:noWrap w:val="0"/>
            <w:vAlign w:val="center"/>
          </w:tcPr>
          <w:p w14:paraId="75F6F4B2">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1.9.1</w:t>
            </w:r>
          </w:p>
        </w:tc>
        <w:tc>
          <w:tcPr>
            <w:tcW w:w="2100" w:type="dxa"/>
            <w:noWrap w:val="0"/>
            <w:vAlign w:val="center"/>
          </w:tcPr>
          <w:p w14:paraId="2C19168A">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踏勘现场</w:t>
            </w:r>
          </w:p>
        </w:tc>
        <w:tc>
          <w:tcPr>
            <w:tcW w:w="6088" w:type="dxa"/>
            <w:noWrap w:val="0"/>
            <w:vAlign w:val="center"/>
          </w:tcPr>
          <w:p w14:paraId="273F46D8">
            <w:pPr>
              <w:pStyle w:val="10"/>
              <w:topLinePunct/>
              <w:snapToGrid w:val="0"/>
              <w:spacing w:line="276" w:lineRule="auto"/>
              <w:ind w:right="174" w:rightChars="83"/>
              <w:rPr>
                <w:rFonts w:hAnsi="宋体"/>
                <w:color w:val="auto"/>
                <w:sz w:val="21"/>
                <w:szCs w:val="21"/>
                <w:highlight w:val="none"/>
              </w:rPr>
            </w:pPr>
            <w:r>
              <w:rPr>
                <w:rFonts w:hint="eastAsia" w:hAnsi="宋体"/>
                <w:color w:val="auto"/>
                <w:sz w:val="21"/>
                <w:szCs w:val="21"/>
                <w:highlight w:val="none"/>
              </w:rPr>
              <w:sym w:font="Wingdings" w:char="00FE"/>
            </w:r>
            <w:r>
              <w:rPr>
                <w:rFonts w:hint="eastAsia" w:hAnsi="宋体"/>
                <w:color w:val="auto"/>
                <w:sz w:val="21"/>
                <w:szCs w:val="21"/>
                <w:highlight w:val="none"/>
              </w:rPr>
              <w:t>不组织，由投标人自行现场考察。</w:t>
            </w:r>
          </w:p>
          <w:p w14:paraId="12247520">
            <w:pPr>
              <w:pStyle w:val="10"/>
              <w:topLinePunct/>
              <w:snapToGrid w:val="0"/>
              <w:spacing w:line="276" w:lineRule="auto"/>
              <w:ind w:right="174" w:rightChars="83"/>
              <w:rPr>
                <w:rFonts w:hAnsi="宋体"/>
                <w:color w:val="auto"/>
                <w:sz w:val="21"/>
                <w:szCs w:val="21"/>
                <w:highlight w:val="none"/>
              </w:rPr>
            </w:pPr>
            <w:r>
              <w:rPr>
                <w:rFonts w:hint="eastAsia" w:hAnsi="宋体"/>
                <w:b/>
                <w:color w:val="auto"/>
                <w:sz w:val="21"/>
                <w:szCs w:val="21"/>
                <w:highlight w:val="none"/>
              </w:rPr>
              <w:t>□</w:t>
            </w:r>
            <w:r>
              <w:rPr>
                <w:rFonts w:hAnsi="宋体"/>
                <w:color w:val="auto"/>
                <w:sz w:val="21"/>
                <w:szCs w:val="21"/>
                <w:highlight w:val="none"/>
              </w:rPr>
              <w:t xml:space="preserve"> 组织，踏勘时间：/</w:t>
            </w:r>
          </w:p>
          <w:p w14:paraId="72729125">
            <w:pPr>
              <w:pStyle w:val="10"/>
              <w:topLinePunct/>
              <w:spacing w:line="276" w:lineRule="auto"/>
              <w:rPr>
                <w:rFonts w:hAnsi="宋体"/>
                <w:color w:val="auto"/>
                <w:sz w:val="21"/>
                <w:szCs w:val="21"/>
                <w:highlight w:val="none"/>
              </w:rPr>
            </w:pPr>
            <w:r>
              <w:rPr>
                <w:rFonts w:hint="eastAsia" w:hAnsi="宋体"/>
                <w:color w:val="auto"/>
                <w:sz w:val="21"/>
                <w:szCs w:val="21"/>
                <w:highlight w:val="none"/>
              </w:rPr>
              <w:t>踏勘集中地点：</w:t>
            </w:r>
            <w:r>
              <w:rPr>
                <w:rFonts w:hAnsi="宋体"/>
                <w:color w:val="auto"/>
                <w:sz w:val="21"/>
                <w:szCs w:val="21"/>
                <w:highlight w:val="none"/>
              </w:rPr>
              <w:t>/</w:t>
            </w:r>
          </w:p>
        </w:tc>
      </w:tr>
      <w:tr w14:paraId="10A4F6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45" w:type="dxa"/>
            <w:noWrap w:val="0"/>
            <w:vAlign w:val="center"/>
          </w:tcPr>
          <w:p w14:paraId="3F7989D1">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1.10.1</w:t>
            </w:r>
          </w:p>
        </w:tc>
        <w:tc>
          <w:tcPr>
            <w:tcW w:w="2100" w:type="dxa"/>
            <w:noWrap w:val="0"/>
            <w:vAlign w:val="center"/>
          </w:tcPr>
          <w:p w14:paraId="0E5093B3">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投标预备会</w:t>
            </w:r>
          </w:p>
        </w:tc>
        <w:tc>
          <w:tcPr>
            <w:tcW w:w="6088" w:type="dxa"/>
            <w:noWrap w:val="0"/>
            <w:vAlign w:val="center"/>
          </w:tcPr>
          <w:p w14:paraId="68694131">
            <w:pPr>
              <w:pStyle w:val="10"/>
              <w:topLinePunct/>
              <w:spacing w:line="276" w:lineRule="auto"/>
              <w:rPr>
                <w:rFonts w:hAnsi="宋体"/>
                <w:color w:val="auto"/>
                <w:sz w:val="21"/>
                <w:szCs w:val="21"/>
                <w:highlight w:val="none"/>
              </w:rPr>
            </w:pPr>
            <w:r>
              <w:rPr>
                <w:rFonts w:hint="eastAsia" w:hAnsi="宋体"/>
                <w:color w:val="auto"/>
                <w:sz w:val="21"/>
                <w:szCs w:val="21"/>
                <w:highlight w:val="none"/>
              </w:rPr>
              <w:sym w:font="Wingdings" w:char="00FE"/>
            </w:r>
            <w:r>
              <w:rPr>
                <w:rFonts w:hint="eastAsia" w:hAnsi="宋体"/>
                <w:color w:val="auto"/>
                <w:sz w:val="21"/>
                <w:szCs w:val="21"/>
                <w:highlight w:val="none"/>
              </w:rPr>
              <w:t>不召开</w:t>
            </w:r>
          </w:p>
          <w:p w14:paraId="7AEC198F">
            <w:pPr>
              <w:spacing w:line="276" w:lineRule="auto"/>
              <w:rPr>
                <w:rFonts w:ascii="宋体" w:hAnsi="宋体" w:eastAsia="宋体"/>
                <w:color w:val="auto"/>
                <w:szCs w:val="21"/>
                <w:highlight w:val="none"/>
              </w:rPr>
            </w:pPr>
            <w:r>
              <w:rPr>
                <w:rFonts w:hint="eastAsia" w:ascii="宋体" w:hAnsi="宋体" w:eastAsia="宋体"/>
                <w:b/>
                <w:color w:val="auto"/>
                <w:szCs w:val="21"/>
                <w:highlight w:val="none"/>
              </w:rPr>
              <w:t>□</w:t>
            </w:r>
            <w:r>
              <w:rPr>
                <w:rFonts w:ascii="宋体" w:hAnsi="宋体" w:eastAsia="宋体"/>
                <w:color w:val="auto"/>
                <w:szCs w:val="21"/>
                <w:highlight w:val="none"/>
              </w:rPr>
              <w:t xml:space="preserve"> 召开，召开时间：/</w:t>
            </w:r>
          </w:p>
          <w:p w14:paraId="362B9B86">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召开地点：</w:t>
            </w:r>
            <w:r>
              <w:rPr>
                <w:rFonts w:ascii="宋体" w:hAnsi="宋体" w:eastAsia="宋体"/>
                <w:color w:val="auto"/>
                <w:szCs w:val="21"/>
                <w:highlight w:val="none"/>
              </w:rPr>
              <w:t>/</w:t>
            </w:r>
          </w:p>
        </w:tc>
      </w:tr>
      <w:tr w14:paraId="6CEEE03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45" w:type="dxa"/>
            <w:noWrap w:val="0"/>
            <w:vAlign w:val="center"/>
          </w:tcPr>
          <w:p w14:paraId="77B14318">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1.10.2</w:t>
            </w:r>
          </w:p>
        </w:tc>
        <w:tc>
          <w:tcPr>
            <w:tcW w:w="2100" w:type="dxa"/>
            <w:noWrap w:val="0"/>
            <w:vAlign w:val="center"/>
          </w:tcPr>
          <w:p w14:paraId="30891578">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投标人在投标预备会前提出问题</w:t>
            </w:r>
          </w:p>
        </w:tc>
        <w:tc>
          <w:tcPr>
            <w:tcW w:w="6088" w:type="dxa"/>
            <w:noWrap w:val="0"/>
            <w:vAlign w:val="center"/>
          </w:tcPr>
          <w:p w14:paraId="65A79921">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本项目不召开投标预备会。</w:t>
            </w:r>
          </w:p>
        </w:tc>
      </w:tr>
      <w:tr w14:paraId="5BDBCE7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45" w:type="dxa"/>
            <w:noWrap w:val="0"/>
            <w:vAlign w:val="center"/>
          </w:tcPr>
          <w:p w14:paraId="3F3BB217">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1.10.3</w:t>
            </w:r>
          </w:p>
        </w:tc>
        <w:tc>
          <w:tcPr>
            <w:tcW w:w="2100" w:type="dxa"/>
            <w:noWrap w:val="0"/>
            <w:vAlign w:val="center"/>
          </w:tcPr>
          <w:p w14:paraId="668492ED">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招标文件澄清发出的形式</w:t>
            </w:r>
          </w:p>
        </w:tc>
        <w:tc>
          <w:tcPr>
            <w:tcW w:w="6088" w:type="dxa"/>
            <w:noWrap w:val="0"/>
            <w:vAlign w:val="center"/>
          </w:tcPr>
          <w:p w14:paraId="6554EB61">
            <w:pPr>
              <w:snapToGrid w:val="0"/>
              <w:spacing w:line="276" w:lineRule="auto"/>
              <w:ind w:right="174" w:rightChars="83"/>
              <w:rPr>
                <w:rFonts w:ascii="宋体" w:hAnsi="宋体" w:eastAsia="宋体"/>
                <w:color w:val="auto"/>
                <w:szCs w:val="21"/>
                <w:highlight w:val="none"/>
              </w:rPr>
            </w:pPr>
            <w:r>
              <w:rPr>
                <w:rFonts w:hint="eastAsia" w:ascii="宋体" w:hAnsi="宋体" w:eastAsia="宋体"/>
                <w:color w:val="auto"/>
                <w:szCs w:val="21"/>
                <w:highlight w:val="none"/>
              </w:rPr>
              <w:t>将以邮件形式发放给所有投标人。</w:t>
            </w:r>
          </w:p>
        </w:tc>
      </w:tr>
      <w:tr w14:paraId="434A080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45" w:type="dxa"/>
            <w:noWrap w:val="0"/>
            <w:vAlign w:val="center"/>
          </w:tcPr>
          <w:p w14:paraId="00314652">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1.12.1</w:t>
            </w:r>
          </w:p>
        </w:tc>
        <w:tc>
          <w:tcPr>
            <w:tcW w:w="2100" w:type="dxa"/>
            <w:noWrap w:val="0"/>
            <w:vAlign w:val="center"/>
          </w:tcPr>
          <w:p w14:paraId="73D179B2">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实质性要求和条件</w:t>
            </w:r>
          </w:p>
        </w:tc>
        <w:tc>
          <w:tcPr>
            <w:tcW w:w="6088" w:type="dxa"/>
            <w:noWrap w:val="0"/>
            <w:vAlign w:val="center"/>
          </w:tcPr>
          <w:p w14:paraId="56BC1F1C">
            <w:pPr>
              <w:snapToGrid w:val="0"/>
              <w:spacing w:line="276" w:lineRule="auto"/>
              <w:ind w:right="174" w:rightChars="83"/>
              <w:rPr>
                <w:rFonts w:ascii="宋体" w:hAnsi="宋体" w:eastAsia="宋体"/>
                <w:color w:val="auto"/>
                <w:szCs w:val="21"/>
                <w:highlight w:val="none"/>
              </w:rPr>
            </w:pPr>
            <w:r>
              <w:rPr>
                <w:rFonts w:ascii="宋体" w:hAnsi="宋体" w:eastAsia="宋体"/>
                <w:color w:val="auto"/>
                <w:szCs w:val="21"/>
                <w:highlight w:val="none"/>
              </w:rPr>
              <w:t>/</w:t>
            </w:r>
          </w:p>
        </w:tc>
      </w:tr>
      <w:tr w14:paraId="180B9D2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45" w:type="dxa"/>
            <w:noWrap w:val="0"/>
            <w:vAlign w:val="center"/>
          </w:tcPr>
          <w:p w14:paraId="3E04DAA0">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1.12.3</w:t>
            </w:r>
          </w:p>
        </w:tc>
        <w:tc>
          <w:tcPr>
            <w:tcW w:w="2100" w:type="dxa"/>
            <w:noWrap w:val="0"/>
            <w:vAlign w:val="center"/>
          </w:tcPr>
          <w:p w14:paraId="3C919ECB">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偏差</w:t>
            </w:r>
          </w:p>
        </w:tc>
        <w:tc>
          <w:tcPr>
            <w:tcW w:w="6088" w:type="dxa"/>
            <w:noWrap w:val="0"/>
            <w:vAlign w:val="top"/>
          </w:tcPr>
          <w:p w14:paraId="2E6A02B2">
            <w:pPr>
              <w:spacing w:line="276" w:lineRule="auto"/>
              <w:rPr>
                <w:rFonts w:ascii="宋体" w:hAnsi="宋体" w:eastAsia="宋体"/>
                <w:color w:val="auto"/>
                <w:szCs w:val="21"/>
                <w:highlight w:val="none"/>
              </w:rPr>
            </w:pPr>
            <w:r>
              <w:rPr>
                <w:rFonts w:hint="eastAsia" w:ascii="宋体" w:hAnsi="宋体" w:eastAsia="宋体"/>
                <w:color w:val="auto"/>
                <w:szCs w:val="21"/>
                <w:highlight w:val="none"/>
              </w:rPr>
              <w:sym w:font="Wingdings" w:char="00FE"/>
            </w:r>
            <w:r>
              <w:rPr>
                <w:rFonts w:hint="eastAsia" w:ascii="宋体" w:hAnsi="宋体" w:eastAsia="宋体"/>
                <w:color w:val="auto"/>
                <w:szCs w:val="21"/>
                <w:highlight w:val="none"/>
              </w:rPr>
              <w:t>不允许</w:t>
            </w:r>
          </w:p>
          <w:p w14:paraId="743066BB">
            <w:pPr>
              <w:pStyle w:val="10"/>
              <w:topLinePunct/>
              <w:spacing w:line="276" w:lineRule="auto"/>
              <w:rPr>
                <w:rFonts w:hAnsi="宋体"/>
                <w:color w:val="auto"/>
                <w:sz w:val="21"/>
                <w:szCs w:val="21"/>
                <w:highlight w:val="none"/>
              </w:rPr>
            </w:pPr>
            <w:r>
              <w:rPr>
                <w:rFonts w:hint="eastAsia" w:hAnsi="宋体"/>
                <w:b/>
                <w:color w:val="auto"/>
                <w:sz w:val="21"/>
                <w:szCs w:val="21"/>
                <w:highlight w:val="none"/>
              </w:rPr>
              <w:t>□</w:t>
            </w:r>
            <w:r>
              <w:rPr>
                <w:rFonts w:hint="eastAsia" w:hAnsi="宋体"/>
                <w:color w:val="auto"/>
                <w:sz w:val="21"/>
                <w:szCs w:val="21"/>
                <w:highlight w:val="none"/>
              </w:rPr>
              <w:t>允许，偏差范围：</w:t>
            </w:r>
            <w:r>
              <w:rPr>
                <w:rFonts w:hAnsi="宋体"/>
                <w:color w:val="auto"/>
                <w:sz w:val="21"/>
                <w:szCs w:val="21"/>
                <w:highlight w:val="none"/>
              </w:rPr>
              <w:t xml:space="preserve">       </w:t>
            </w:r>
            <w:r>
              <w:rPr>
                <w:rFonts w:hint="eastAsia" w:hAnsi="宋体"/>
                <w:color w:val="auto"/>
                <w:sz w:val="21"/>
                <w:szCs w:val="21"/>
                <w:highlight w:val="none"/>
              </w:rPr>
              <w:t>，偏差幅度：</w:t>
            </w:r>
            <w:r>
              <w:rPr>
                <w:rFonts w:hAnsi="宋体"/>
                <w:color w:val="auto"/>
                <w:sz w:val="21"/>
                <w:szCs w:val="21"/>
                <w:highlight w:val="none"/>
              </w:rPr>
              <w:t xml:space="preserve">       </w:t>
            </w:r>
            <w:r>
              <w:rPr>
                <w:rFonts w:hint="eastAsia" w:hAnsi="宋体"/>
                <w:color w:val="auto"/>
                <w:sz w:val="21"/>
                <w:szCs w:val="21"/>
                <w:highlight w:val="none"/>
              </w:rPr>
              <w:t>。</w:t>
            </w:r>
          </w:p>
        </w:tc>
      </w:tr>
      <w:tr w14:paraId="0BD30A4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945" w:type="dxa"/>
            <w:noWrap w:val="0"/>
            <w:vAlign w:val="center"/>
          </w:tcPr>
          <w:p w14:paraId="5962AF77">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2.1</w:t>
            </w:r>
          </w:p>
        </w:tc>
        <w:tc>
          <w:tcPr>
            <w:tcW w:w="2100" w:type="dxa"/>
            <w:noWrap w:val="0"/>
            <w:vAlign w:val="center"/>
          </w:tcPr>
          <w:p w14:paraId="7AE7E790">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构成招标文件的其他资料</w:t>
            </w:r>
          </w:p>
        </w:tc>
        <w:tc>
          <w:tcPr>
            <w:tcW w:w="6088" w:type="dxa"/>
            <w:noWrap w:val="0"/>
            <w:vAlign w:val="center"/>
          </w:tcPr>
          <w:p w14:paraId="19B86EC3">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w:t>
            </w:r>
          </w:p>
        </w:tc>
      </w:tr>
      <w:tr w14:paraId="7561084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8" w:hRule="atLeast"/>
        </w:trPr>
        <w:tc>
          <w:tcPr>
            <w:tcW w:w="945" w:type="dxa"/>
            <w:vMerge w:val="restart"/>
            <w:noWrap w:val="0"/>
            <w:vAlign w:val="center"/>
          </w:tcPr>
          <w:p w14:paraId="46D33A82">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2.2.1</w:t>
            </w:r>
          </w:p>
        </w:tc>
        <w:tc>
          <w:tcPr>
            <w:tcW w:w="2100" w:type="dxa"/>
            <w:vMerge w:val="restart"/>
            <w:noWrap w:val="0"/>
            <w:vAlign w:val="center"/>
          </w:tcPr>
          <w:p w14:paraId="725BD3B2">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投标人要求澄清招标文件</w:t>
            </w:r>
          </w:p>
        </w:tc>
        <w:tc>
          <w:tcPr>
            <w:tcW w:w="6088" w:type="dxa"/>
            <w:noWrap w:val="0"/>
            <w:vAlign w:val="center"/>
          </w:tcPr>
          <w:p w14:paraId="080E96AE">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时间：在提交投标文件截止时间</w:t>
            </w:r>
            <w:r>
              <w:rPr>
                <w:rFonts w:ascii="宋体" w:hAnsi="宋体" w:eastAsia="宋体"/>
                <w:color w:val="auto"/>
                <w:szCs w:val="21"/>
                <w:highlight w:val="none"/>
              </w:rPr>
              <w:t>18天前提出。</w:t>
            </w:r>
          </w:p>
        </w:tc>
      </w:tr>
      <w:tr w14:paraId="5B995F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28" w:hRule="atLeast"/>
        </w:trPr>
        <w:tc>
          <w:tcPr>
            <w:tcW w:w="945" w:type="dxa"/>
            <w:vMerge w:val="continue"/>
            <w:noWrap w:val="0"/>
            <w:vAlign w:val="center"/>
          </w:tcPr>
          <w:p w14:paraId="1070FF69">
            <w:pPr>
              <w:snapToGrid w:val="0"/>
              <w:spacing w:line="276" w:lineRule="auto"/>
              <w:jc w:val="center"/>
              <w:rPr>
                <w:rFonts w:ascii="宋体" w:hAnsi="宋体" w:eastAsia="宋体"/>
                <w:color w:val="auto"/>
                <w:szCs w:val="21"/>
                <w:highlight w:val="none"/>
              </w:rPr>
            </w:pPr>
          </w:p>
        </w:tc>
        <w:tc>
          <w:tcPr>
            <w:tcW w:w="2100" w:type="dxa"/>
            <w:vMerge w:val="continue"/>
            <w:noWrap w:val="0"/>
            <w:vAlign w:val="center"/>
          </w:tcPr>
          <w:p w14:paraId="613E7BBB">
            <w:pPr>
              <w:snapToGrid w:val="0"/>
              <w:spacing w:line="276" w:lineRule="auto"/>
              <w:jc w:val="center"/>
              <w:rPr>
                <w:rFonts w:ascii="宋体" w:hAnsi="宋体" w:eastAsia="宋体"/>
                <w:color w:val="auto"/>
                <w:szCs w:val="21"/>
                <w:highlight w:val="none"/>
              </w:rPr>
            </w:pPr>
          </w:p>
        </w:tc>
        <w:tc>
          <w:tcPr>
            <w:tcW w:w="6088" w:type="dxa"/>
            <w:noWrap w:val="0"/>
            <w:vAlign w:val="center"/>
          </w:tcPr>
          <w:p w14:paraId="4FB7B59E">
            <w:pPr>
              <w:wordWrap w:val="0"/>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形式：招标答疑采用网上答疑方式进行。投标人若对招标文件有疑问的，可在规定的时间内将问题提交发送到598696970</w:t>
            </w:r>
            <w:r>
              <w:rPr>
                <w:rFonts w:ascii="宋体" w:hAnsi="宋体" w:eastAsia="宋体"/>
                <w:color w:val="auto"/>
                <w:szCs w:val="21"/>
                <w:highlight w:val="none"/>
              </w:rPr>
              <w:t>@qq.com邮箱。</w:t>
            </w:r>
          </w:p>
        </w:tc>
      </w:tr>
      <w:tr w14:paraId="1E38DB1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14" w:hRule="atLeast"/>
        </w:trPr>
        <w:tc>
          <w:tcPr>
            <w:tcW w:w="945" w:type="dxa"/>
            <w:noWrap w:val="0"/>
            <w:vAlign w:val="center"/>
          </w:tcPr>
          <w:p w14:paraId="606009A9">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2.2.2</w:t>
            </w:r>
          </w:p>
        </w:tc>
        <w:tc>
          <w:tcPr>
            <w:tcW w:w="2100" w:type="dxa"/>
            <w:noWrap w:val="0"/>
            <w:vAlign w:val="center"/>
          </w:tcPr>
          <w:p w14:paraId="655A94E1">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招标文件澄清发出的形式</w:t>
            </w:r>
          </w:p>
        </w:tc>
        <w:tc>
          <w:tcPr>
            <w:tcW w:w="6088" w:type="dxa"/>
            <w:noWrap w:val="0"/>
            <w:vAlign w:val="center"/>
          </w:tcPr>
          <w:p w14:paraId="68385693">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将以邮件形式发放给所有投标人。</w:t>
            </w:r>
          </w:p>
        </w:tc>
      </w:tr>
      <w:tr w14:paraId="49C8624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2" w:hRule="atLeast"/>
        </w:trPr>
        <w:tc>
          <w:tcPr>
            <w:tcW w:w="945" w:type="dxa"/>
            <w:vMerge w:val="restart"/>
            <w:noWrap w:val="0"/>
            <w:vAlign w:val="center"/>
          </w:tcPr>
          <w:p w14:paraId="3F2CAFE0">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2.2.3</w:t>
            </w:r>
          </w:p>
        </w:tc>
        <w:tc>
          <w:tcPr>
            <w:tcW w:w="2100" w:type="dxa"/>
            <w:vMerge w:val="restart"/>
            <w:noWrap w:val="0"/>
            <w:vAlign w:val="center"/>
          </w:tcPr>
          <w:p w14:paraId="137E11F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投标人确认收到招标文件澄清</w:t>
            </w:r>
          </w:p>
        </w:tc>
        <w:tc>
          <w:tcPr>
            <w:tcW w:w="6088" w:type="dxa"/>
            <w:noWrap w:val="0"/>
            <w:vAlign w:val="center"/>
          </w:tcPr>
          <w:p w14:paraId="65FBE1F8">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时间：发出即视作收到。</w:t>
            </w:r>
          </w:p>
        </w:tc>
      </w:tr>
      <w:tr w14:paraId="63DDB21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10" w:hRule="atLeast"/>
        </w:trPr>
        <w:tc>
          <w:tcPr>
            <w:tcW w:w="945" w:type="dxa"/>
            <w:vMerge w:val="continue"/>
            <w:noWrap w:val="0"/>
            <w:vAlign w:val="center"/>
          </w:tcPr>
          <w:p w14:paraId="3C6B9DF6">
            <w:pPr>
              <w:snapToGrid w:val="0"/>
              <w:spacing w:line="276" w:lineRule="auto"/>
              <w:jc w:val="center"/>
              <w:rPr>
                <w:rFonts w:ascii="宋体" w:hAnsi="宋体" w:eastAsia="宋体"/>
                <w:color w:val="auto"/>
                <w:szCs w:val="21"/>
                <w:highlight w:val="none"/>
              </w:rPr>
            </w:pPr>
          </w:p>
        </w:tc>
        <w:tc>
          <w:tcPr>
            <w:tcW w:w="2100" w:type="dxa"/>
            <w:vMerge w:val="continue"/>
            <w:noWrap w:val="0"/>
            <w:vAlign w:val="center"/>
          </w:tcPr>
          <w:p w14:paraId="0806ADD5">
            <w:pPr>
              <w:snapToGrid w:val="0"/>
              <w:spacing w:line="276" w:lineRule="auto"/>
              <w:jc w:val="center"/>
              <w:rPr>
                <w:rFonts w:ascii="宋体" w:hAnsi="宋体" w:eastAsia="宋体"/>
                <w:color w:val="auto"/>
                <w:szCs w:val="21"/>
                <w:highlight w:val="none"/>
              </w:rPr>
            </w:pPr>
          </w:p>
        </w:tc>
        <w:tc>
          <w:tcPr>
            <w:tcW w:w="6088" w:type="dxa"/>
            <w:noWrap w:val="0"/>
            <w:vAlign w:val="center"/>
          </w:tcPr>
          <w:p w14:paraId="79485865">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形式：将以邮件形式发放给所有投标人。</w:t>
            </w:r>
          </w:p>
        </w:tc>
      </w:tr>
      <w:tr w14:paraId="2FDDFD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9" w:hRule="atLeast"/>
        </w:trPr>
        <w:tc>
          <w:tcPr>
            <w:tcW w:w="945" w:type="dxa"/>
            <w:noWrap w:val="0"/>
            <w:vAlign w:val="center"/>
          </w:tcPr>
          <w:p w14:paraId="20EE3DE7">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2.3.1</w:t>
            </w:r>
          </w:p>
        </w:tc>
        <w:tc>
          <w:tcPr>
            <w:tcW w:w="2100" w:type="dxa"/>
            <w:noWrap w:val="0"/>
            <w:vAlign w:val="center"/>
          </w:tcPr>
          <w:p w14:paraId="0B7C738A">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招标文件修改发出的形式</w:t>
            </w:r>
          </w:p>
        </w:tc>
        <w:tc>
          <w:tcPr>
            <w:tcW w:w="6088" w:type="dxa"/>
            <w:noWrap w:val="0"/>
            <w:vAlign w:val="center"/>
          </w:tcPr>
          <w:p w14:paraId="31679D72">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将以邮件形式发放给所有投标人。</w:t>
            </w:r>
          </w:p>
        </w:tc>
      </w:tr>
      <w:tr w14:paraId="5F4D98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2" w:hRule="atLeast"/>
        </w:trPr>
        <w:tc>
          <w:tcPr>
            <w:tcW w:w="945" w:type="dxa"/>
            <w:vMerge w:val="restart"/>
            <w:noWrap w:val="0"/>
            <w:vAlign w:val="center"/>
          </w:tcPr>
          <w:p w14:paraId="33DF0912">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2.3.2</w:t>
            </w:r>
          </w:p>
        </w:tc>
        <w:tc>
          <w:tcPr>
            <w:tcW w:w="2100" w:type="dxa"/>
            <w:vMerge w:val="restart"/>
            <w:noWrap w:val="0"/>
            <w:vAlign w:val="center"/>
          </w:tcPr>
          <w:p w14:paraId="10D2AA3F">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投标人确认收到招标文件修改</w:t>
            </w:r>
          </w:p>
        </w:tc>
        <w:tc>
          <w:tcPr>
            <w:tcW w:w="6088" w:type="dxa"/>
            <w:tcBorders>
              <w:bottom w:val="single" w:color="auto" w:sz="4" w:space="0"/>
            </w:tcBorders>
            <w:noWrap w:val="0"/>
            <w:vAlign w:val="center"/>
          </w:tcPr>
          <w:p w14:paraId="47997800">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时间：发出即视作收到。</w:t>
            </w:r>
          </w:p>
        </w:tc>
      </w:tr>
      <w:tr w14:paraId="1615326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65" w:hRule="atLeast"/>
        </w:trPr>
        <w:tc>
          <w:tcPr>
            <w:tcW w:w="945" w:type="dxa"/>
            <w:vMerge w:val="continue"/>
            <w:noWrap w:val="0"/>
            <w:vAlign w:val="center"/>
          </w:tcPr>
          <w:p w14:paraId="5EB280F9">
            <w:pPr>
              <w:snapToGrid w:val="0"/>
              <w:spacing w:line="276" w:lineRule="auto"/>
              <w:jc w:val="center"/>
              <w:rPr>
                <w:rFonts w:ascii="宋体" w:hAnsi="宋体" w:eastAsia="宋体"/>
                <w:color w:val="auto"/>
                <w:szCs w:val="21"/>
                <w:highlight w:val="none"/>
              </w:rPr>
            </w:pPr>
          </w:p>
        </w:tc>
        <w:tc>
          <w:tcPr>
            <w:tcW w:w="2100" w:type="dxa"/>
            <w:vMerge w:val="continue"/>
            <w:noWrap w:val="0"/>
            <w:vAlign w:val="center"/>
          </w:tcPr>
          <w:p w14:paraId="5D9906AD">
            <w:pPr>
              <w:snapToGrid w:val="0"/>
              <w:spacing w:line="276" w:lineRule="auto"/>
              <w:jc w:val="center"/>
              <w:rPr>
                <w:rFonts w:ascii="宋体" w:hAnsi="宋体" w:eastAsia="宋体"/>
                <w:color w:val="auto"/>
                <w:szCs w:val="21"/>
                <w:highlight w:val="none"/>
              </w:rPr>
            </w:pPr>
          </w:p>
        </w:tc>
        <w:tc>
          <w:tcPr>
            <w:tcW w:w="6088" w:type="dxa"/>
            <w:tcBorders>
              <w:top w:val="single" w:color="auto" w:sz="4" w:space="0"/>
            </w:tcBorders>
            <w:noWrap w:val="0"/>
            <w:vAlign w:val="center"/>
          </w:tcPr>
          <w:p w14:paraId="58527422">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形式：将以邮件形式发放给所有投标人。</w:t>
            </w:r>
          </w:p>
        </w:tc>
      </w:tr>
      <w:tr w14:paraId="1F706A2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2" w:hRule="atLeast"/>
        </w:trPr>
        <w:tc>
          <w:tcPr>
            <w:tcW w:w="945" w:type="dxa"/>
            <w:noWrap w:val="0"/>
            <w:vAlign w:val="center"/>
          </w:tcPr>
          <w:p w14:paraId="02C223A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3.1.1</w:t>
            </w:r>
          </w:p>
        </w:tc>
        <w:tc>
          <w:tcPr>
            <w:tcW w:w="2100" w:type="dxa"/>
            <w:noWrap w:val="0"/>
            <w:vAlign w:val="center"/>
          </w:tcPr>
          <w:p w14:paraId="3A4B1407">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构成投标文件的其他资料</w:t>
            </w:r>
          </w:p>
        </w:tc>
        <w:tc>
          <w:tcPr>
            <w:tcW w:w="6088" w:type="dxa"/>
            <w:noWrap w:val="0"/>
            <w:vAlign w:val="center"/>
          </w:tcPr>
          <w:p w14:paraId="1BC48388">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满足本项目评审要求的其他资料</w:t>
            </w:r>
            <w:r>
              <w:rPr>
                <w:rFonts w:hint="eastAsia" w:ascii="宋体" w:hAnsi="宋体" w:eastAsia="宋体"/>
                <w:color w:val="auto"/>
                <w:szCs w:val="21"/>
                <w:highlight w:val="none"/>
              </w:rPr>
              <w:t>。</w:t>
            </w:r>
          </w:p>
        </w:tc>
      </w:tr>
      <w:tr w14:paraId="2FEF52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945" w:type="dxa"/>
            <w:noWrap w:val="0"/>
            <w:vAlign w:val="center"/>
          </w:tcPr>
          <w:p w14:paraId="6A09076D">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3.2.1</w:t>
            </w:r>
          </w:p>
        </w:tc>
        <w:tc>
          <w:tcPr>
            <w:tcW w:w="2100" w:type="dxa"/>
            <w:noWrap w:val="0"/>
            <w:vAlign w:val="center"/>
          </w:tcPr>
          <w:p w14:paraId="15796D33">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增值税税金的计算方法</w:t>
            </w:r>
          </w:p>
        </w:tc>
        <w:tc>
          <w:tcPr>
            <w:tcW w:w="6088" w:type="dxa"/>
            <w:noWrap w:val="0"/>
            <w:vAlign w:val="center"/>
          </w:tcPr>
          <w:p w14:paraId="219B8002">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按国家税务机关的规定执行。</w:t>
            </w:r>
          </w:p>
        </w:tc>
      </w:tr>
      <w:tr w14:paraId="3C5AEBC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945" w:type="dxa"/>
            <w:noWrap w:val="0"/>
            <w:vAlign w:val="center"/>
          </w:tcPr>
          <w:p w14:paraId="16B8F800">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3.2.3</w:t>
            </w:r>
          </w:p>
        </w:tc>
        <w:tc>
          <w:tcPr>
            <w:tcW w:w="2100" w:type="dxa"/>
            <w:noWrap w:val="0"/>
            <w:vAlign w:val="center"/>
          </w:tcPr>
          <w:p w14:paraId="1558051B">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报价方式</w:t>
            </w:r>
          </w:p>
        </w:tc>
        <w:tc>
          <w:tcPr>
            <w:tcW w:w="6088" w:type="dxa"/>
            <w:noWrap w:val="0"/>
            <w:vAlign w:val="center"/>
          </w:tcPr>
          <w:p w14:paraId="3D6B85AE">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lang w:val="en-US" w:eastAsia="zh-CN"/>
              </w:rPr>
              <w:t>固定单价及固定费率报价，由投标人</w:t>
            </w:r>
            <w:r>
              <w:rPr>
                <w:rFonts w:hint="eastAsia" w:ascii="宋体" w:hAnsi="宋体" w:eastAsia="宋体"/>
                <w:color w:val="auto"/>
                <w:szCs w:val="21"/>
                <w:highlight w:val="none"/>
              </w:rPr>
              <w:t>自行报价。</w:t>
            </w:r>
            <w:r>
              <w:rPr>
                <w:rFonts w:hint="eastAsia" w:ascii="宋体" w:hAnsi="宋体" w:eastAsia="宋体"/>
                <w:color w:val="auto"/>
                <w:szCs w:val="21"/>
                <w:highlight w:val="none"/>
                <w:u w:val="single"/>
              </w:rPr>
              <w:t>投标人须按照招标文件第六章《投标报价表》格式进行报价。</w:t>
            </w:r>
          </w:p>
        </w:tc>
      </w:tr>
      <w:tr w14:paraId="4E364B6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19" w:hRule="atLeast"/>
        </w:trPr>
        <w:tc>
          <w:tcPr>
            <w:tcW w:w="945" w:type="dxa"/>
            <w:noWrap w:val="0"/>
            <w:vAlign w:val="center"/>
          </w:tcPr>
          <w:p w14:paraId="1913FE1D">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3.2.4</w:t>
            </w:r>
          </w:p>
        </w:tc>
        <w:tc>
          <w:tcPr>
            <w:tcW w:w="2100" w:type="dxa"/>
            <w:noWrap w:val="0"/>
            <w:vAlign w:val="center"/>
          </w:tcPr>
          <w:p w14:paraId="6143CA5F">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最高投标限价</w:t>
            </w:r>
          </w:p>
        </w:tc>
        <w:tc>
          <w:tcPr>
            <w:tcW w:w="6088" w:type="dxa"/>
            <w:noWrap w:val="0"/>
            <w:vAlign w:val="center"/>
          </w:tcPr>
          <w:p w14:paraId="5B30772F">
            <w:pPr>
              <w:snapToGrid w:val="0"/>
              <w:spacing w:line="276" w:lineRule="auto"/>
              <w:rPr>
                <w:rFonts w:ascii="宋体" w:hAnsi="宋体" w:eastAsia="宋体"/>
                <w:color w:val="auto"/>
                <w:szCs w:val="21"/>
                <w:highlight w:val="none"/>
              </w:rPr>
            </w:pPr>
            <w:r>
              <w:rPr>
                <w:rFonts w:hint="eastAsia" w:ascii="宋体" w:hAnsi="宋体" w:eastAsia="宋体"/>
                <w:b/>
                <w:color w:val="auto"/>
                <w:szCs w:val="21"/>
                <w:highlight w:val="none"/>
              </w:rPr>
              <w:t>□</w:t>
            </w:r>
            <w:r>
              <w:rPr>
                <w:rFonts w:ascii="宋体" w:hAnsi="宋体" w:eastAsia="宋体"/>
                <w:color w:val="auto"/>
                <w:szCs w:val="21"/>
                <w:highlight w:val="none"/>
              </w:rPr>
              <w:t xml:space="preserve"> 无</w:t>
            </w:r>
          </w:p>
          <w:p w14:paraId="79555D2D">
            <w:pPr>
              <w:tabs>
                <w:tab w:val="left" w:pos="7513"/>
              </w:tabs>
              <w:adjustRightInd w:val="0"/>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sym w:font="Wingdings" w:char="00FE"/>
            </w:r>
            <w:r>
              <w:rPr>
                <w:rFonts w:hint="eastAsia" w:ascii="宋体" w:hAnsi="宋体" w:eastAsia="宋体"/>
                <w:color w:val="auto"/>
                <w:szCs w:val="21"/>
                <w:highlight w:val="none"/>
              </w:rPr>
              <w:t>有，见招标公告。</w:t>
            </w:r>
          </w:p>
        </w:tc>
      </w:tr>
      <w:tr w14:paraId="2F384AD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81" w:hRule="atLeast"/>
        </w:trPr>
        <w:tc>
          <w:tcPr>
            <w:tcW w:w="945" w:type="dxa"/>
            <w:noWrap w:val="0"/>
            <w:vAlign w:val="center"/>
          </w:tcPr>
          <w:p w14:paraId="0997B96D">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3.2.5</w:t>
            </w:r>
          </w:p>
        </w:tc>
        <w:tc>
          <w:tcPr>
            <w:tcW w:w="2100" w:type="dxa"/>
            <w:noWrap w:val="0"/>
            <w:vAlign w:val="center"/>
          </w:tcPr>
          <w:p w14:paraId="6640F399">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投标报价的其他要求</w:t>
            </w:r>
          </w:p>
        </w:tc>
        <w:tc>
          <w:tcPr>
            <w:tcW w:w="6088" w:type="dxa"/>
            <w:noWrap w:val="0"/>
            <w:vAlign w:val="center"/>
          </w:tcPr>
          <w:p w14:paraId="6D3A6159">
            <w:pPr>
              <w:snapToGrid w:val="0"/>
              <w:spacing w:line="276" w:lineRule="auto"/>
              <w:rPr>
                <w:rFonts w:hint="eastAsia" w:ascii="宋体" w:hAnsi="宋体" w:eastAsia="宋体"/>
                <w:color w:val="auto"/>
                <w:szCs w:val="21"/>
                <w:highlight w:val="none"/>
              </w:rPr>
            </w:pPr>
            <w:r>
              <w:rPr>
                <w:rFonts w:hint="eastAsia" w:ascii="宋体" w:hAnsi="宋体" w:eastAsia="宋体"/>
                <w:color w:val="auto"/>
                <w:szCs w:val="21"/>
                <w:highlight w:val="none"/>
              </w:rPr>
              <w:t>具体详见第六章投标文件格式四：投标报价表。</w:t>
            </w:r>
          </w:p>
          <w:p w14:paraId="69C23FCB">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投标人根据企业自身实力自行报价，投标总报价高于最高投标限价的，作无效标处理。</w:t>
            </w:r>
          </w:p>
        </w:tc>
      </w:tr>
      <w:tr w14:paraId="2D739D9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945" w:type="dxa"/>
            <w:noWrap w:val="0"/>
            <w:vAlign w:val="center"/>
          </w:tcPr>
          <w:p w14:paraId="4A56E34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3.3.1</w:t>
            </w:r>
          </w:p>
        </w:tc>
        <w:tc>
          <w:tcPr>
            <w:tcW w:w="2100" w:type="dxa"/>
            <w:noWrap w:val="0"/>
            <w:vAlign w:val="center"/>
          </w:tcPr>
          <w:p w14:paraId="1379B680">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投标有效期</w:t>
            </w:r>
          </w:p>
        </w:tc>
        <w:tc>
          <w:tcPr>
            <w:tcW w:w="6088" w:type="dxa"/>
            <w:noWrap w:val="0"/>
            <w:vAlign w:val="center"/>
          </w:tcPr>
          <w:p w14:paraId="4D6C309F">
            <w:pPr>
              <w:snapToGrid w:val="0"/>
              <w:spacing w:line="276" w:lineRule="auto"/>
              <w:rPr>
                <w:rFonts w:ascii="宋体" w:hAnsi="宋体" w:eastAsia="宋体"/>
                <w:color w:val="auto"/>
                <w:szCs w:val="21"/>
                <w:highlight w:val="none"/>
              </w:rPr>
            </w:pPr>
            <w:bookmarkStart w:id="7" w:name="_Toc1789"/>
            <w:bookmarkStart w:id="8" w:name="_Toc300834946"/>
            <w:bookmarkStart w:id="9" w:name="_Toc361508582"/>
            <w:bookmarkStart w:id="10" w:name="_Toc352691470"/>
            <w:bookmarkStart w:id="11" w:name="_Toc369531512"/>
            <w:bookmarkStart w:id="12" w:name="_Toc384308207"/>
            <w:r>
              <w:rPr>
                <w:rFonts w:ascii="宋体" w:hAnsi="宋体" w:eastAsia="宋体"/>
                <w:b/>
                <w:color w:val="auto"/>
                <w:szCs w:val="21"/>
                <w:highlight w:val="none"/>
              </w:rPr>
              <w:t>90日历天</w:t>
            </w:r>
            <w:r>
              <w:rPr>
                <w:rFonts w:hint="eastAsia" w:ascii="宋体" w:hAnsi="宋体" w:eastAsia="宋体"/>
                <w:color w:val="auto"/>
                <w:szCs w:val="21"/>
                <w:highlight w:val="none"/>
              </w:rPr>
              <w:t>（从投标截止之日算起）。</w:t>
            </w:r>
          </w:p>
        </w:tc>
      </w:tr>
      <w:bookmarkEnd w:id="7"/>
      <w:bookmarkEnd w:id="8"/>
      <w:bookmarkEnd w:id="9"/>
      <w:bookmarkEnd w:id="10"/>
      <w:bookmarkEnd w:id="11"/>
      <w:bookmarkEnd w:id="12"/>
      <w:tr w14:paraId="7EE1B3B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97" w:hRule="atLeast"/>
        </w:trPr>
        <w:tc>
          <w:tcPr>
            <w:tcW w:w="945" w:type="dxa"/>
            <w:noWrap w:val="0"/>
            <w:vAlign w:val="center"/>
          </w:tcPr>
          <w:p w14:paraId="4EF4CE51">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3.4.1</w:t>
            </w:r>
          </w:p>
        </w:tc>
        <w:tc>
          <w:tcPr>
            <w:tcW w:w="2100" w:type="dxa"/>
            <w:noWrap w:val="0"/>
            <w:vAlign w:val="center"/>
          </w:tcPr>
          <w:p w14:paraId="4A99A7F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投标保证金</w:t>
            </w:r>
          </w:p>
        </w:tc>
        <w:tc>
          <w:tcPr>
            <w:tcW w:w="6088" w:type="dxa"/>
            <w:noWrap w:val="0"/>
            <w:vAlign w:val="center"/>
          </w:tcPr>
          <w:p w14:paraId="433F9623">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是否要求投标人递交投标保证金：</w:t>
            </w:r>
          </w:p>
          <w:p w14:paraId="280144DB">
            <w:pPr>
              <w:snapToGrid w:val="0"/>
              <w:spacing w:line="276" w:lineRule="auto"/>
              <w:rPr>
                <w:rFonts w:hint="eastAsia" w:ascii="宋体" w:hAnsi="宋体" w:eastAsia="宋体"/>
                <w:strike/>
                <w:color w:val="auto"/>
                <w:szCs w:val="21"/>
                <w:highlight w:val="none"/>
                <w:lang w:eastAsia="zh-CN"/>
              </w:rPr>
            </w:pPr>
            <w:r>
              <w:rPr>
                <w:rFonts w:hint="eastAsia" w:ascii="宋体" w:hAnsi="宋体" w:eastAsia="宋体"/>
                <w:color w:val="auto"/>
                <w:szCs w:val="21"/>
                <w:highlight w:val="none"/>
              </w:rPr>
              <w:sym w:font="Wingdings" w:char="00A8"/>
            </w:r>
            <w:r>
              <w:rPr>
                <w:rFonts w:hint="eastAsia" w:ascii="宋体" w:hAnsi="宋体" w:eastAsia="宋体"/>
                <w:color w:val="auto"/>
                <w:szCs w:val="21"/>
                <w:highlight w:val="none"/>
              </w:rPr>
              <w:t>要求，</w:t>
            </w:r>
            <w:r>
              <w:rPr>
                <w:rFonts w:hint="eastAsia" w:ascii="宋体" w:hAnsi="宋体" w:eastAsia="宋体"/>
                <w:strike/>
                <w:color w:val="auto"/>
                <w:szCs w:val="21"/>
                <w:highlight w:val="none"/>
              </w:rPr>
              <w:t>投标保证金的金额：</w:t>
            </w:r>
            <w:r>
              <w:rPr>
                <w:rFonts w:hint="eastAsia" w:ascii="宋体" w:hAnsi="宋体" w:eastAsia="宋体"/>
                <w:strike/>
                <w:color w:val="auto"/>
                <w:szCs w:val="21"/>
                <w:highlight w:val="none"/>
                <w:u w:val="single"/>
                <w:lang w:val="en-US" w:eastAsia="zh-CN"/>
              </w:rPr>
              <w:t>/</w:t>
            </w:r>
            <w:r>
              <w:rPr>
                <w:rFonts w:ascii="宋体" w:hAnsi="宋体" w:eastAsia="宋体"/>
                <w:strike/>
                <w:color w:val="auto"/>
                <w:szCs w:val="21"/>
                <w:highlight w:val="none"/>
              </w:rPr>
              <w:t>万元人民币。</w:t>
            </w:r>
          </w:p>
          <w:p w14:paraId="15692EEC">
            <w:pPr>
              <w:spacing w:line="276" w:lineRule="auto"/>
              <w:rPr>
                <w:rFonts w:ascii="宋体" w:hAnsi="宋体" w:eastAsia="宋体" w:cs="宋体"/>
                <w:strike/>
                <w:color w:val="auto"/>
                <w:highlight w:val="none"/>
                <w:u w:val="single"/>
              </w:rPr>
            </w:pPr>
            <w:r>
              <w:rPr>
                <w:rFonts w:hint="eastAsia" w:ascii="宋体" w:hAnsi="宋体" w:eastAsia="宋体" w:cs="宋体"/>
                <w:strike/>
                <w:color w:val="auto"/>
                <w:highlight w:val="none"/>
              </w:rPr>
              <w:t>缴纳时间：</w:t>
            </w:r>
            <w:r>
              <w:rPr>
                <w:rFonts w:hint="eastAsia" w:ascii="宋体" w:hAnsi="宋体" w:eastAsia="宋体" w:cs="宋体"/>
                <w:strike/>
                <w:color w:val="auto"/>
                <w:highlight w:val="none"/>
                <w:u w:val="single"/>
              </w:rPr>
              <w:t>递交投标文件截止时间前。</w:t>
            </w:r>
          </w:p>
          <w:p w14:paraId="274E2E46">
            <w:pPr>
              <w:pStyle w:val="16"/>
              <w:spacing w:line="276" w:lineRule="auto"/>
              <w:rPr>
                <w:rFonts w:hAnsi="宋体" w:cs="宋体"/>
                <w:strike/>
                <w:color w:val="auto"/>
                <w:highlight w:val="none"/>
              </w:rPr>
            </w:pPr>
            <w:r>
              <w:rPr>
                <w:rFonts w:hint="eastAsia" w:hAnsi="宋体"/>
                <w:strike/>
                <w:color w:val="auto"/>
                <w:highlight w:val="none"/>
              </w:rPr>
              <w:t>缴纳方式：</w:t>
            </w:r>
            <w:r>
              <w:rPr>
                <w:rFonts w:hint="eastAsia" w:hAnsi="宋体"/>
                <w:strike/>
                <w:color w:val="auto"/>
                <w:highlight w:val="none"/>
                <w:u w:val="single"/>
              </w:rPr>
              <w:t>可采用现金、支票、保证保险、保函（银行或专业担保公司出具）等形式。</w:t>
            </w:r>
          </w:p>
          <w:p w14:paraId="0E289B12">
            <w:pPr>
              <w:spacing w:line="276" w:lineRule="auto"/>
              <w:rPr>
                <w:rFonts w:ascii="宋体" w:hAnsi="宋体" w:eastAsia="宋体" w:cs="宋体"/>
                <w:strike/>
                <w:color w:val="auto"/>
                <w:highlight w:val="none"/>
                <w:u w:val="single"/>
              </w:rPr>
            </w:pPr>
            <w:r>
              <w:rPr>
                <w:rFonts w:hint="eastAsia" w:ascii="宋体" w:hAnsi="宋体" w:eastAsia="宋体" w:cs="宋体"/>
                <w:strike/>
                <w:color w:val="auto"/>
                <w:highlight w:val="none"/>
              </w:rPr>
              <w:t>投标保证金有效期：</w:t>
            </w:r>
            <w:r>
              <w:rPr>
                <w:rFonts w:hint="eastAsia" w:ascii="宋体" w:hAnsi="宋体" w:eastAsia="宋体" w:cs="宋体"/>
                <w:strike/>
                <w:color w:val="auto"/>
                <w:highlight w:val="none"/>
                <w:u w:val="single"/>
              </w:rPr>
              <w:t>与投标有效期一致。</w:t>
            </w:r>
          </w:p>
          <w:p w14:paraId="68DB9149">
            <w:pPr>
              <w:spacing w:line="276" w:lineRule="auto"/>
              <w:rPr>
                <w:rFonts w:ascii="宋体" w:hAnsi="宋体" w:eastAsia="宋体" w:cs="宋体"/>
                <w:strike/>
                <w:color w:val="auto"/>
                <w:highlight w:val="none"/>
                <w:u w:val="single"/>
              </w:rPr>
            </w:pPr>
            <w:r>
              <w:rPr>
                <w:rFonts w:hint="eastAsia" w:ascii="宋体" w:hAnsi="宋体" w:eastAsia="宋体" w:cs="宋体"/>
                <w:strike/>
                <w:color w:val="auto"/>
                <w:highlight w:val="none"/>
                <w:u w:val="single"/>
              </w:rPr>
              <w:t>注：</w:t>
            </w:r>
          </w:p>
          <w:p w14:paraId="3F067380">
            <w:pPr>
              <w:spacing w:line="276" w:lineRule="auto"/>
              <w:rPr>
                <w:rFonts w:ascii="宋体" w:hAnsi="宋体" w:eastAsia="宋体" w:cs="宋体"/>
                <w:strike/>
                <w:color w:val="auto"/>
                <w:highlight w:val="none"/>
                <w:u w:val="single"/>
              </w:rPr>
            </w:pPr>
            <w:r>
              <w:rPr>
                <w:rFonts w:hint="eastAsia" w:ascii="宋体" w:hAnsi="宋体" w:eastAsia="宋体" w:cs="宋体"/>
                <w:strike/>
                <w:color w:val="auto"/>
                <w:highlight w:val="none"/>
                <w:u w:val="single"/>
              </w:rPr>
              <w:t>（</w:t>
            </w:r>
            <w:r>
              <w:rPr>
                <w:rFonts w:ascii="宋体" w:hAnsi="宋体" w:eastAsia="宋体" w:cs="宋体"/>
                <w:strike/>
                <w:color w:val="auto"/>
                <w:highlight w:val="none"/>
                <w:u w:val="single"/>
              </w:rPr>
              <w:t>1）如采用现金、支票形式提交的，投标保证金从投标人基本账户递交，由招标代理机构代收。收款信息：</w:t>
            </w:r>
          </w:p>
          <w:p w14:paraId="056276D4">
            <w:pPr>
              <w:spacing w:line="276" w:lineRule="auto"/>
              <w:rPr>
                <w:rFonts w:ascii="宋体" w:hAnsi="宋体" w:eastAsia="宋体" w:cs="宋体"/>
                <w:strike/>
                <w:color w:val="auto"/>
                <w:highlight w:val="none"/>
                <w:u w:val="single"/>
              </w:rPr>
            </w:pPr>
            <w:r>
              <w:rPr>
                <w:rFonts w:hint="eastAsia" w:ascii="宋体" w:hAnsi="宋体" w:eastAsia="宋体" w:cs="宋体"/>
                <w:strike/>
                <w:color w:val="auto"/>
                <w:highlight w:val="none"/>
                <w:u w:val="single"/>
              </w:rPr>
              <w:t>开户银行：建设银行广州市西城支行</w:t>
            </w:r>
          </w:p>
          <w:p w14:paraId="38930B9C">
            <w:pPr>
              <w:spacing w:line="276" w:lineRule="auto"/>
              <w:rPr>
                <w:rFonts w:ascii="宋体" w:hAnsi="宋体" w:eastAsia="宋体" w:cs="宋体"/>
                <w:strike/>
                <w:color w:val="auto"/>
                <w:highlight w:val="none"/>
                <w:u w:val="single"/>
              </w:rPr>
            </w:pPr>
            <w:r>
              <w:rPr>
                <w:rFonts w:hint="eastAsia" w:ascii="宋体" w:hAnsi="宋体" w:eastAsia="宋体" w:cs="宋体"/>
                <w:strike/>
                <w:color w:val="auto"/>
                <w:highlight w:val="none"/>
                <w:u w:val="single"/>
              </w:rPr>
              <w:t>账户名称：广州建筑工程监理有限公司</w:t>
            </w:r>
          </w:p>
          <w:p w14:paraId="15DA42FA">
            <w:pPr>
              <w:spacing w:line="276" w:lineRule="auto"/>
              <w:rPr>
                <w:rFonts w:ascii="宋体" w:hAnsi="宋体" w:eastAsia="宋体" w:cs="宋体"/>
                <w:strike/>
                <w:color w:val="auto"/>
                <w:highlight w:val="none"/>
                <w:u w:val="single"/>
              </w:rPr>
            </w:pPr>
            <w:r>
              <w:rPr>
                <w:rFonts w:hint="eastAsia" w:ascii="宋体" w:hAnsi="宋体" w:eastAsia="宋体" w:cs="宋体"/>
                <w:strike/>
                <w:color w:val="auto"/>
                <w:highlight w:val="none"/>
                <w:u w:val="single"/>
              </w:rPr>
              <w:t>银行账号：</w:t>
            </w:r>
            <w:r>
              <w:rPr>
                <w:rFonts w:ascii="宋体" w:hAnsi="宋体" w:eastAsia="宋体" w:cs="宋体"/>
                <w:strike/>
                <w:color w:val="auto"/>
                <w:highlight w:val="none"/>
                <w:u w:val="single"/>
              </w:rPr>
              <w:t>44001453101053000692</w:t>
            </w:r>
          </w:p>
          <w:p w14:paraId="3C7DBDEF">
            <w:pPr>
              <w:spacing w:line="276" w:lineRule="auto"/>
              <w:rPr>
                <w:rFonts w:ascii="宋体" w:hAnsi="宋体" w:eastAsia="宋体" w:cs="宋体"/>
                <w:strike/>
                <w:color w:val="auto"/>
                <w:highlight w:val="none"/>
                <w:u w:val="single"/>
              </w:rPr>
            </w:pPr>
            <w:r>
              <w:rPr>
                <w:rFonts w:hint="eastAsia" w:ascii="宋体" w:hAnsi="宋体" w:eastAsia="宋体" w:cs="宋体"/>
                <w:strike/>
                <w:color w:val="auto"/>
                <w:highlight w:val="none"/>
                <w:u w:val="single"/>
              </w:rPr>
              <w:t>（汇款时注明招标编号</w:t>
            </w:r>
            <w:r>
              <w:rPr>
                <w:rFonts w:ascii="宋体" w:hAnsi="宋体" w:eastAsia="宋体" w:cs="宋体"/>
                <w:strike/>
                <w:color w:val="auto"/>
                <w:highlight w:val="none"/>
                <w:u w:val="single"/>
              </w:rPr>
              <w:t>）</w:t>
            </w:r>
          </w:p>
          <w:p w14:paraId="59DCE22D">
            <w:pPr>
              <w:spacing w:line="276" w:lineRule="auto"/>
              <w:rPr>
                <w:rFonts w:ascii="宋体" w:hAnsi="宋体" w:eastAsia="宋体" w:cs="宋体"/>
                <w:strike/>
                <w:color w:val="auto"/>
                <w:highlight w:val="none"/>
              </w:rPr>
            </w:pPr>
            <w:r>
              <w:rPr>
                <w:rFonts w:hint="eastAsia" w:ascii="宋体" w:hAnsi="宋体" w:eastAsia="宋体" w:cs="宋体"/>
                <w:strike/>
                <w:color w:val="auto"/>
                <w:highlight w:val="none"/>
                <w:u w:val="single"/>
              </w:rPr>
              <w:t>（</w:t>
            </w:r>
            <w:r>
              <w:rPr>
                <w:rFonts w:ascii="宋体" w:hAnsi="宋体" w:eastAsia="宋体" w:cs="宋体"/>
                <w:strike/>
                <w:color w:val="auto"/>
                <w:highlight w:val="none"/>
                <w:u w:val="single"/>
              </w:rPr>
              <w:t>2）如采用保函或保险等形式提交的，在递交投标文件时单独密封递交。</w:t>
            </w:r>
          </w:p>
          <w:p w14:paraId="3B8CD351">
            <w:pPr>
              <w:snapToGrid w:val="0"/>
              <w:spacing w:line="276" w:lineRule="auto"/>
              <w:rPr>
                <w:rFonts w:ascii="宋体" w:hAnsi="宋体" w:eastAsia="宋体"/>
                <w:color w:val="auto"/>
                <w:szCs w:val="21"/>
                <w:highlight w:val="none"/>
              </w:rPr>
            </w:pPr>
            <w:r>
              <w:rPr>
                <w:rFonts w:hint="eastAsia" w:ascii="宋体" w:hAnsi="宋体" w:eastAsia="宋体"/>
                <w:b/>
                <w:color w:val="auto"/>
                <w:szCs w:val="21"/>
                <w:highlight w:val="none"/>
                <w:lang w:eastAsia="zh-CN"/>
              </w:rPr>
              <w:t>☑</w:t>
            </w:r>
            <w:r>
              <w:rPr>
                <w:rFonts w:ascii="宋体" w:hAnsi="宋体" w:eastAsia="宋体"/>
                <w:color w:val="auto"/>
                <w:szCs w:val="21"/>
                <w:highlight w:val="none"/>
              </w:rPr>
              <w:t xml:space="preserve"> </w:t>
            </w:r>
            <w:r>
              <w:rPr>
                <w:rFonts w:hint="eastAsia" w:ascii="宋体" w:hAnsi="宋体" w:eastAsia="宋体"/>
                <w:color w:val="auto"/>
                <w:szCs w:val="21"/>
                <w:highlight w:val="none"/>
              </w:rPr>
              <w:t>不要求</w:t>
            </w:r>
          </w:p>
        </w:tc>
      </w:tr>
      <w:tr w14:paraId="04B723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45" w:type="dxa"/>
            <w:noWrap w:val="0"/>
            <w:vAlign w:val="center"/>
          </w:tcPr>
          <w:p w14:paraId="52D092A6">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3.4.4</w:t>
            </w:r>
          </w:p>
        </w:tc>
        <w:tc>
          <w:tcPr>
            <w:tcW w:w="2100" w:type="dxa"/>
            <w:noWrap w:val="0"/>
            <w:vAlign w:val="center"/>
          </w:tcPr>
          <w:p w14:paraId="3AB58A33">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其他可以不予退还投标保证金的情形</w:t>
            </w:r>
          </w:p>
        </w:tc>
        <w:tc>
          <w:tcPr>
            <w:tcW w:w="6088" w:type="dxa"/>
            <w:noWrap w:val="0"/>
            <w:vAlign w:val="center"/>
          </w:tcPr>
          <w:p w14:paraId="0F1BCD69">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w:t>
            </w:r>
          </w:p>
        </w:tc>
      </w:tr>
      <w:tr w14:paraId="1EFFD07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1" w:hRule="atLeast"/>
        </w:trPr>
        <w:tc>
          <w:tcPr>
            <w:tcW w:w="945" w:type="dxa"/>
            <w:noWrap w:val="0"/>
            <w:vAlign w:val="center"/>
          </w:tcPr>
          <w:p w14:paraId="2F86244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3.5</w:t>
            </w:r>
          </w:p>
        </w:tc>
        <w:tc>
          <w:tcPr>
            <w:tcW w:w="2100" w:type="dxa"/>
            <w:noWrap w:val="0"/>
            <w:vAlign w:val="center"/>
          </w:tcPr>
          <w:p w14:paraId="4B5B8F96">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资格审查资料的特殊要求</w:t>
            </w:r>
          </w:p>
        </w:tc>
        <w:tc>
          <w:tcPr>
            <w:tcW w:w="6088" w:type="dxa"/>
            <w:noWrap w:val="0"/>
            <w:vAlign w:val="center"/>
          </w:tcPr>
          <w:p w14:paraId="33E1F234">
            <w:pPr>
              <w:pStyle w:val="10"/>
              <w:topLinePunct/>
              <w:spacing w:line="276" w:lineRule="auto"/>
              <w:rPr>
                <w:rFonts w:hAnsi="宋体"/>
                <w:color w:val="auto"/>
                <w:sz w:val="21"/>
                <w:szCs w:val="21"/>
                <w:highlight w:val="none"/>
              </w:rPr>
            </w:pPr>
            <w:r>
              <w:rPr>
                <w:rFonts w:hint="eastAsia" w:hAnsi="宋体"/>
                <w:color w:val="auto"/>
                <w:sz w:val="21"/>
                <w:szCs w:val="21"/>
                <w:highlight w:val="none"/>
              </w:rPr>
              <w:sym w:font="Wingdings" w:char="00FE"/>
            </w:r>
            <w:r>
              <w:rPr>
                <w:rFonts w:hint="eastAsia" w:hAnsi="宋体"/>
                <w:color w:val="auto"/>
                <w:sz w:val="21"/>
                <w:szCs w:val="21"/>
                <w:highlight w:val="none"/>
              </w:rPr>
              <w:t>无</w:t>
            </w:r>
          </w:p>
          <w:p w14:paraId="1C384787">
            <w:pPr>
              <w:pStyle w:val="10"/>
              <w:topLinePunct/>
              <w:spacing w:line="276" w:lineRule="auto"/>
              <w:rPr>
                <w:rFonts w:hAnsi="宋体"/>
                <w:color w:val="auto"/>
                <w:sz w:val="21"/>
                <w:szCs w:val="21"/>
                <w:highlight w:val="none"/>
              </w:rPr>
            </w:pPr>
            <w:r>
              <w:rPr>
                <w:rFonts w:hint="eastAsia" w:hAnsi="宋体"/>
                <w:b/>
                <w:color w:val="auto"/>
                <w:sz w:val="21"/>
                <w:szCs w:val="21"/>
                <w:highlight w:val="none"/>
              </w:rPr>
              <w:t>□</w:t>
            </w:r>
            <w:r>
              <w:rPr>
                <w:rFonts w:hAnsi="宋体"/>
                <w:color w:val="auto"/>
                <w:sz w:val="21"/>
                <w:szCs w:val="21"/>
                <w:highlight w:val="none"/>
              </w:rPr>
              <w:t xml:space="preserve"> 有，具体要求：</w:t>
            </w:r>
          </w:p>
        </w:tc>
      </w:tr>
      <w:tr w14:paraId="454DF1D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945" w:type="dxa"/>
            <w:noWrap w:val="0"/>
            <w:vAlign w:val="center"/>
          </w:tcPr>
          <w:p w14:paraId="12C30EF0">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3.6.1</w:t>
            </w:r>
          </w:p>
        </w:tc>
        <w:tc>
          <w:tcPr>
            <w:tcW w:w="2100" w:type="dxa"/>
            <w:noWrap w:val="0"/>
            <w:vAlign w:val="center"/>
          </w:tcPr>
          <w:p w14:paraId="07B0D51C">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是否允许递交备选投标方案</w:t>
            </w:r>
          </w:p>
        </w:tc>
        <w:tc>
          <w:tcPr>
            <w:tcW w:w="6088" w:type="dxa"/>
            <w:noWrap w:val="0"/>
            <w:vAlign w:val="center"/>
          </w:tcPr>
          <w:p w14:paraId="01C8F557">
            <w:pPr>
              <w:pStyle w:val="10"/>
              <w:topLinePunct/>
              <w:spacing w:line="276" w:lineRule="auto"/>
              <w:rPr>
                <w:rFonts w:hAnsi="宋体"/>
                <w:color w:val="auto"/>
                <w:sz w:val="21"/>
                <w:szCs w:val="21"/>
                <w:highlight w:val="none"/>
              </w:rPr>
            </w:pPr>
            <w:r>
              <w:rPr>
                <w:rFonts w:hint="eastAsia" w:hAnsi="宋体"/>
                <w:color w:val="auto"/>
                <w:sz w:val="21"/>
                <w:szCs w:val="21"/>
                <w:highlight w:val="none"/>
              </w:rPr>
              <w:sym w:font="Wingdings" w:char="00FE"/>
            </w:r>
            <w:r>
              <w:rPr>
                <w:rFonts w:hint="eastAsia" w:hAnsi="宋体"/>
                <w:color w:val="auto"/>
                <w:sz w:val="21"/>
                <w:szCs w:val="21"/>
                <w:highlight w:val="none"/>
              </w:rPr>
              <w:t>不允许</w:t>
            </w:r>
          </w:p>
          <w:p w14:paraId="4387A150">
            <w:pPr>
              <w:spacing w:line="276" w:lineRule="auto"/>
              <w:rPr>
                <w:rFonts w:ascii="宋体" w:hAnsi="宋体" w:eastAsia="宋体"/>
                <w:color w:val="auto"/>
                <w:szCs w:val="21"/>
                <w:highlight w:val="none"/>
              </w:rPr>
            </w:pPr>
            <w:r>
              <w:rPr>
                <w:rFonts w:hint="eastAsia" w:ascii="宋体" w:hAnsi="宋体" w:eastAsia="宋体"/>
                <w:b/>
                <w:color w:val="auto"/>
                <w:szCs w:val="21"/>
                <w:highlight w:val="none"/>
              </w:rPr>
              <w:t>□</w:t>
            </w:r>
            <w:r>
              <w:rPr>
                <w:rFonts w:ascii="宋体" w:hAnsi="宋体" w:eastAsia="宋体"/>
                <w:color w:val="auto"/>
                <w:szCs w:val="21"/>
                <w:highlight w:val="none"/>
              </w:rPr>
              <w:t xml:space="preserve"> 允许</w:t>
            </w:r>
          </w:p>
        </w:tc>
      </w:tr>
      <w:tr w14:paraId="49BEA6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945" w:type="dxa"/>
            <w:noWrap w:val="0"/>
            <w:vAlign w:val="center"/>
          </w:tcPr>
          <w:p w14:paraId="281E6190">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3.7.3A（</w:t>
            </w:r>
            <w:r>
              <w:rPr>
                <w:rFonts w:ascii="宋体" w:hAnsi="宋体" w:eastAsia="宋体"/>
                <w:color w:val="auto"/>
                <w:szCs w:val="21"/>
                <w:highlight w:val="none"/>
              </w:rPr>
              <w:t>2）</w:t>
            </w:r>
          </w:p>
        </w:tc>
        <w:tc>
          <w:tcPr>
            <w:tcW w:w="2100" w:type="dxa"/>
            <w:noWrap w:val="0"/>
            <w:vAlign w:val="center"/>
          </w:tcPr>
          <w:p w14:paraId="0D50C3EF">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投标文件副本份数及其他要求</w:t>
            </w:r>
          </w:p>
        </w:tc>
        <w:tc>
          <w:tcPr>
            <w:tcW w:w="6088" w:type="dxa"/>
            <w:noWrap w:val="0"/>
            <w:vAlign w:val="center"/>
          </w:tcPr>
          <w:p w14:paraId="400FE5B2">
            <w:pPr>
              <w:snapToGrid w:val="0"/>
              <w:spacing w:line="276" w:lineRule="auto"/>
              <w:rPr>
                <w:rFonts w:ascii="宋体" w:hAnsi="宋体" w:eastAsia="宋体"/>
                <w:b/>
                <w:color w:val="auto"/>
                <w:szCs w:val="21"/>
                <w:highlight w:val="none"/>
                <w:u w:val="single"/>
              </w:rPr>
            </w:pPr>
            <w:r>
              <w:rPr>
                <w:rFonts w:ascii="宋体" w:hAnsi="宋体" w:eastAsia="宋体"/>
                <w:b/>
                <w:color w:val="auto"/>
                <w:szCs w:val="21"/>
                <w:highlight w:val="none"/>
                <w:u w:val="single"/>
              </w:rPr>
              <w:t>1份正本（含电子文件一套），</w:t>
            </w:r>
            <w:r>
              <w:rPr>
                <w:rFonts w:hint="eastAsia" w:ascii="宋体" w:hAnsi="宋体" w:eastAsia="宋体"/>
                <w:b/>
                <w:color w:val="auto"/>
                <w:szCs w:val="21"/>
                <w:highlight w:val="none"/>
                <w:u w:val="single"/>
              </w:rPr>
              <w:t>4</w:t>
            </w:r>
            <w:r>
              <w:rPr>
                <w:rFonts w:ascii="宋体" w:hAnsi="宋体" w:eastAsia="宋体"/>
                <w:b/>
                <w:color w:val="auto"/>
                <w:szCs w:val="21"/>
                <w:highlight w:val="none"/>
                <w:u w:val="single"/>
              </w:rPr>
              <w:t>份副本。</w:t>
            </w:r>
          </w:p>
        </w:tc>
      </w:tr>
      <w:tr w14:paraId="507089B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00" w:hRule="atLeast"/>
        </w:trPr>
        <w:tc>
          <w:tcPr>
            <w:tcW w:w="945" w:type="dxa"/>
            <w:noWrap w:val="0"/>
            <w:vAlign w:val="center"/>
          </w:tcPr>
          <w:p w14:paraId="0245AD24">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3.7.3A（3）</w:t>
            </w:r>
          </w:p>
        </w:tc>
        <w:tc>
          <w:tcPr>
            <w:tcW w:w="2100" w:type="dxa"/>
            <w:noWrap w:val="0"/>
            <w:vAlign w:val="center"/>
          </w:tcPr>
          <w:p w14:paraId="2456749B">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投标文件是否需分册装订</w:t>
            </w:r>
          </w:p>
        </w:tc>
        <w:tc>
          <w:tcPr>
            <w:tcW w:w="6088" w:type="dxa"/>
            <w:noWrap w:val="0"/>
            <w:vAlign w:val="center"/>
          </w:tcPr>
          <w:p w14:paraId="06F00D91">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否</w:t>
            </w:r>
          </w:p>
        </w:tc>
      </w:tr>
      <w:tr w14:paraId="6000935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24" w:hRule="atLeast"/>
        </w:trPr>
        <w:tc>
          <w:tcPr>
            <w:tcW w:w="945" w:type="dxa"/>
            <w:noWrap w:val="0"/>
            <w:vAlign w:val="center"/>
          </w:tcPr>
          <w:p w14:paraId="6A3B7949">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3.7.3（</w:t>
            </w:r>
            <w:r>
              <w:rPr>
                <w:rFonts w:ascii="宋体" w:hAnsi="宋体" w:eastAsia="宋体"/>
                <w:color w:val="auto"/>
                <w:szCs w:val="21"/>
                <w:highlight w:val="none"/>
              </w:rPr>
              <w:t>B）</w:t>
            </w:r>
          </w:p>
        </w:tc>
        <w:tc>
          <w:tcPr>
            <w:tcW w:w="2100" w:type="dxa"/>
            <w:noWrap w:val="0"/>
            <w:vAlign w:val="center"/>
          </w:tcPr>
          <w:p w14:paraId="2AA7F1CE">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投标文件所附证书证件要求</w:t>
            </w:r>
          </w:p>
        </w:tc>
        <w:tc>
          <w:tcPr>
            <w:tcW w:w="6088" w:type="dxa"/>
            <w:noWrap w:val="0"/>
            <w:vAlign w:val="center"/>
          </w:tcPr>
          <w:p w14:paraId="612B4699">
            <w:pPr>
              <w:pStyle w:val="10"/>
              <w:topLinePunct/>
              <w:spacing w:line="276" w:lineRule="auto"/>
              <w:rPr>
                <w:rFonts w:hAnsi="宋体"/>
                <w:color w:val="auto"/>
                <w:sz w:val="21"/>
                <w:szCs w:val="21"/>
                <w:highlight w:val="none"/>
              </w:rPr>
            </w:pPr>
            <w:r>
              <w:rPr>
                <w:rFonts w:hint="eastAsia" w:hAnsi="宋体"/>
                <w:color w:val="auto"/>
                <w:sz w:val="21"/>
                <w:szCs w:val="21"/>
                <w:highlight w:val="none"/>
              </w:rPr>
              <w:t>本项目不适用。</w:t>
            </w:r>
          </w:p>
        </w:tc>
      </w:tr>
      <w:tr w14:paraId="577FADD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945" w:type="dxa"/>
            <w:noWrap w:val="0"/>
            <w:vAlign w:val="center"/>
          </w:tcPr>
          <w:p w14:paraId="77068FA0">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3.7.3（</w:t>
            </w:r>
            <w:r>
              <w:rPr>
                <w:rFonts w:ascii="宋体" w:hAnsi="宋体" w:eastAsia="宋体"/>
                <w:color w:val="auto"/>
                <w:szCs w:val="21"/>
                <w:highlight w:val="none"/>
              </w:rPr>
              <w:t>B）</w:t>
            </w:r>
          </w:p>
        </w:tc>
        <w:tc>
          <w:tcPr>
            <w:tcW w:w="2100" w:type="dxa"/>
            <w:noWrap w:val="0"/>
            <w:vAlign w:val="center"/>
          </w:tcPr>
          <w:p w14:paraId="3203EEA6">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投标文件签字或盖章要求</w:t>
            </w:r>
          </w:p>
        </w:tc>
        <w:tc>
          <w:tcPr>
            <w:tcW w:w="6088" w:type="dxa"/>
            <w:noWrap w:val="0"/>
            <w:vAlign w:val="center"/>
          </w:tcPr>
          <w:p w14:paraId="16FB8D17">
            <w:pPr>
              <w:snapToGrid w:val="0"/>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本项目不适用。</w:t>
            </w:r>
          </w:p>
        </w:tc>
      </w:tr>
      <w:tr w14:paraId="0B4EDC9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945" w:type="dxa"/>
            <w:noWrap w:val="0"/>
            <w:vAlign w:val="center"/>
          </w:tcPr>
          <w:p w14:paraId="452C8BC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4.1.1（</w:t>
            </w:r>
            <w:r>
              <w:rPr>
                <w:rFonts w:ascii="宋体" w:hAnsi="宋体" w:eastAsia="宋体"/>
                <w:color w:val="auto"/>
                <w:szCs w:val="21"/>
                <w:highlight w:val="none"/>
              </w:rPr>
              <w:t>A）</w:t>
            </w:r>
          </w:p>
        </w:tc>
        <w:tc>
          <w:tcPr>
            <w:tcW w:w="2100" w:type="dxa"/>
            <w:noWrap w:val="0"/>
            <w:vAlign w:val="center"/>
          </w:tcPr>
          <w:p w14:paraId="18C14E17">
            <w:pPr>
              <w:snapToGrid w:val="0"/>
              <w:spacing w:line="276" w:lineRule="auto"/>
              <w:jc w:val="center"/>
              <w:rPr>
                <w:rFonts w:ascii="宋体" w:hAnsi="宋体" w:eastAsia="宋体"/>
                <w:color w:val="auto"/>
                <w:szCs w:val="21"/>
                <w:highlight w:val="none"/>
              </w:rPr>
            </w:pPr>
            <w:r>
              <w:rPr>
                <w:rFonts w:ascii="宋体" w:hAnsi="宋体" w:eastAsia="宋体"/>
                <w:color w:val="auto"/>
                <w:szCs w:val="21"/>
                <w:highlight w:val="none"/>
              </w:rPr>
              <w:t>投标文件密封包装</w:t>
            </w:r>
          </w:p>
        </w:tc>
        <w:tc>
          <w:tcPr>
            <w:tcW w:w="6088" w:type="dxa"/>
            <w:noWrap w:val="0"/>
            <w:vAlign w:val="center"/>
          </w:tcPr>
          <w:p w14:paraId="08C8889A">
            <w:pPr>
              <w:snapToGrid w:val="0"/>
              <w:spacing w:line="276" w:lineRule="auto"/>
              <w:rPr>
                <w:rFonts w:ascii="宋体" w:hAnsi="宋体" w:eastAsia="宋体"/>
                <w:b/>
                <w:color w:val="auto"/>
                <w:szCs w:val="21"/>
                <w:highlight w:val="none"/>
                <w:u w:val="single"/>
              </w:rPr>
            </w:pPr>
            <w:r>
              <w:rPr>
                <w:rFonts w:hint="eastAsia" w:ascii="宋体" w:hAnsi="宋体" w:eastAsia="宋体"/>
                <w:b/>
                <w:color w:val="auto"/>
                <w:szCs w:val="21"/>
                <w:highlight w:val="none"/>
                <w:u w:val="single"/>
              </w:rPr>
              <w:t>全部密封为</w:t>
            </w:r>
            <w:r>
              <w:rPr>
                <w:rFonts w:ascii="宋体" w:hAnsi="宋体" w:eastAsia="宋体"/>
                <w:b/>
                <w:color w:val="auto"/>
                <w:szCs w:val="21"/>
                <w:highlight w:val="none"/>
                <w:u w:val="single"/>
              </w:rPr>
              <w:t>1包。</w:t>
            </w:r>
          </w:p>
        </w:tc>
      </w:tr>
      <w:tr w14:paraId="1B778D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945" w:type="dxa"/>
            <w:noWrap w:val="0"/>
            <w:vAlign w:val="center"/>
          </w:tcPr>
          <w:p w14:paraId="0EE42B91">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4.1.1（</w:t>
            </w:r>
            <w:r>
              <w:rPr>
                <w:rFonts w:ascii="宋体" w:hAnsi="宋体" w:eastAsia="宋体"/>
                <w:color w:val="auto"/>
                <w:szCs w:val="21"/>
                <w:highlight w:val="none"/>
              </w:rPr>
              <w:t>B）</w:t>
            </w:r>
          </w:p>
        </w:tc>
        <w:tc>
          <w:tcPr>
            <w:tcW w:w="2100" w:type="dxa"/>
            <w:noWrap w:val="0"/>
            <w:vAlign w:val="center"/>
          </w:tcPr>
          <w:p w14:paraId="690E4FCD">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投标文件加密要求</w:t>
            </w:r>
          </w:p>
        </w:tc>
        <w:tc>
          <w:tcPr>
            <w:tcW w:w="6088" w:type="dxa"/>
            <w:noWrap w:val="0"/>
            <w:vAlign w:val="center"/>
          </w:tcPr>
          <w:p w14:paraId="4620BED3">
            <w:pPr>
              <w:pStyle w:val="10"/>
              <w:topLinePunct/>
              <w:snapToGrid w:val="0"/>
              <w:spacing w:line="276" w:lineRule="auto"/>
              <w:rPr>
                <w:rFonts w:hAnsi="宋体"/>
                <w:color w:val="auto"/>
                <w:sz w:val="21"/>
                <w:szCs w:val="21"/>
                <w:highlight w:val="none"/>
              </w:rPr>
            </w:pPr>
            <w:r>
              <w:rPr>
                <w:rFonts w:hint="eastAsia" w:hAnsi="宋体"/>
                <w:color w:val="auto"/>
                <w:sz w:val="21"/>
                <w:szCs w:val="21"/>
                <w:highlight w:val="none"/>
              </w:rPr>
              <w:t>本项目不适用。</w:t>
            </w:r>
          </w:p>
        </w:tc>
      </w:tr>
      <w:tr w14:paraId="629CD31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13" w:hRule="atLeast"/>
        </w:trPr>
        <w:tc>
          <w:tcPr>
            <w:tcW w:w="945" w:type="dxa"/>
            <w:noWrap w:val="0"/>
            <w:vAlign w:val="center"/>
          </w:tcPr>
          <w:p w14:paraId="2B37BAF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4.1.2</w:t>
            </w:r>
          </w:p>
        </w:tc>
        <w:tc>
          <w:tcPr>
            <w:tcW w:w="2100" w:type="dxa"/>
            <w:noWrap w:val="0"/>
            <w:vAlign w:val="center"/>
          </w:tcPr>
          <w:p w14:paraId="29C2539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封套上应载明的信息</w:t>
            </w:r>
          </w:p>
        </w:tc>
        <w:tc>
          <w:tcPr>
            <w:tcW w:w="6088" w:type="dxa"/>
            <w:noWrap w:val="0"/>
            <w:vAlign w:val="center"/>
          </w:tcPr>
          <w:p w14:paraId="4C3B6EDD">
            <w:pPr>
              <w:pStyle w:val="10"/>
              <w:topLinePunct/>
              <w:snapToGrid w:val="0"/>
              <w:spacing w:line="276" w:lineRule="auto"/>
              <w:rPr>
                <w:rFonts w:hAnsi="宋体"/>
                <w:color w:val="auto"/>
                <w:sz w:val="21"/>
                <w:szCs w:val="21"/>
                <w:highlight w:val="none"/>
              </w:rPr>
            </w:pPr>
            <w:r>
              <w:rPr>
                <w:rFonts w:hint="eastAsia" w:hAnsi="宋体"/>
                <w:color w:val="auto"/>
                <w:sz w:val="21"/>
                <w:szCs w:val="21"/>
                <w:highlight w:val="none"/>
              </w:rPr>
              <w:t>对递交的备用投标文件电子光盘封装要求。</w:t>
            </w:r>
          </w:p>
          <w:p w14:paraId="06A942AF">
            <w:pPr>
              <w:pStyle w:val="10"/>
              <w:topLinePunct/>
              <w:snapToGrid w:val="0"/>
              <w:spacing w:line="276" w:lineRule="auto"/>
              <w:rPr>
                <w:rFonts w:hAnsi="宋体"/>
                <w:color w:val="auto"/>
                <w:sz w:val="21"/>
                <w:szCs w:val="21"/>
                <w:highlight w:val="none"/>
              </w:rPr>
            </w:pPr>
            <w:r>
              <w:rPr>
                <w:rFonts w:hint="eastAsia" w:hAnsi="宋体"/>
                <w:color w:val="auto"/>
                <w:sz w:val="21"/>
                <w:szCs w:val="21"/>
                <w:highlight w:val="none"/>
              </w:rPr>
              <w:t>招标人名称：</w:t>
            </w:r>
            <w:r>
              <w:rPr>
                <w:rFonts w:hAnsi="宋体"/>
                <w:color w:val="auto"/>
                <w:sz w:val="21"/>
                <w:szCs w:val="21"/>
                <w:highlight w:val="none"/>
                <w:u w:val="single"/>
              </w:rPr>
              <w:t xml:space="preserve">                </w:t>
            </w:r>
          </w:p>
          <w:p w14:paraId="0408F3A8">
            <w:pPr>
              <w:pStyle w:val="10"/>
              <w:topLinePunct/>
              <w:snapToGrid w:val="0"/>
              <w:spacing w:line="276" w:lineRule="auto"/>
              <w:rPr>
                <w:rFonts w:hAnsi="宋体"/>
                <w:color w:val="auto"/>
                <w:sz w:val="21"/>
                <w:szCs w:val="21"/>
                <w:highlight w:val="none"/>
              </w:rPr>
            </w:pPr>
            <w:r>
              <w:rPr>
                <w:rFonts w:hint="eastAsia" w:hAnsi="宋体"/>
                <w:color w:val="auto"/>
                <w:sz w:val="21"/>
                <w:szCs w:val="21"/>
                <w:highlight w:val="none"/>
              </w:rPr>
              <w:t>招标人地址：</w:t>
            </w:r>
            <w:r>
              <w:rPr>
                <w:rFonts w:hAnsi="宋体"/>
                <w:color w:val="auto"/>
                <w:sz w:val="21"/>
                <w:szCs w:val="21"/>
                <w:highlight w:val="none"/>
                <w:u w:val="single"/>
              </w:rPr>
              <w:t xml:space="preserve">                </w:t>
            </w:r>
          </w:p>
          <w:p w14:paraId="48FF2792">
            <w:pPr>
              <w:pStyle w:val="10"/>
              <w:topLinePunct/>
              <w:snapToGrid w:val="0"/>
              <w:spacing w:line="276" w:lineRule="auto"/>
              <w:rPr>
                <w:rFonts w:hAnsi="宋体"/>
                <w:color w:val="auto"/>
                <w:sz w:val="21"/>
                <w:szCs w:val="21"/>
                <w:highlight w:val="none"/>
              </w:rPr>
            </w:pPr>
            <w:r>
              <w:rPr>
                <w:rFonts w:hAnsi="宋体"/>
                <w:color w:val="auto"/>
                <w:sz w:val="21"/>
                <w:szCs w:val="21"/>
                <w:highlight w:val="none"/>
                <w:u w:val="single"/>
              </w:rPr>
              <w:t xml:space="preserve">                    （项目名称）</w:t>
            </w:r>
            <w:r>
              <w:rPr>
                <w:rFonts w:hint="eastAsia" w:hAnsi="宋体"/>
                <w:color w:val="auto"/>
                <w:sz w:val="21"/>
                <w:szCs w:val="21"/>
                <w:highlight w:val="none"/>
              </w:rPr>
              <w:t>投标文件</w:t>
            </w:r>
          </w:p>
          <w:p w14:paraId="5DD44E85">
            <w:pPr>
              <w:pStyle w:val="10"/>
              <w:topLinePunct/>
              <w:snapToGrid w:val="0"/>
              <w:spacing w:line="276" w:lineRule="auto"/>
              <w:rPr>
                <w:rFonts w:hAnsi="宋体"/>
                <w:color w:val="auto"/>
                <w:sz w:val="21"/>
                <w:szCs w:val="21"/>
                <w:highlight w:val="none"/>
              </w:rPr>
            </w:pPr>
            <w:r>
              <w:rPr>
                <w:rFonts w:hint="eastAsia" w:hAnsi="宋体"/>
                <w:color w:val="auto"/>
                <w:sz w:val="21"/>
                <w:szCs w:val="21"/>
                <w:highlight w:val="none"/>
              </w:rPr>
              <w:t>招标项目编号：</w:t>
            </w:r>
            <w:r>
              <w:rPr>
                <w:rFonts w:hAnsi="宋体"/>
                <w:color w:val="auto"/>
                <w:sz w:val="21"/>
                <w:szCs w:val="21"/>
                <w:highlight w:val="none"/>
                <w:u w:val="single"/>
              </w:rPr>
              <w:t xml:space="preserve">          </w:t>
            </w:r>
          </w:p>
          <w:p w14:paraId="668E5C4E">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在</w:t>
            </w:r>
            <w:r>
              <w:rPr>
                <w:rFonts w:ascii="宋体" w:hAnsi="宋体" w:eastAsia="宋体"/>
                <w:color w:val="auto"/>
                <w:szCs w:val="21"/>
                <w:highlight w:val="none"/>
                <w:u w:val="single"/>
              </w:rPr>
              <w:t xml:space="preserve">   年   月    日    时    </w:t>
            </w:r>
            <w:r>
              <w:rPr>
                <w:rFonts w:hint="eastAsia" w:ascii="宋体" w:hAnsi="宋体" w:eastAsia="宋体"/>
                <w:color w:val="auto"/>
                <w:szCs w:val="21"/>
                <w:highlight w:val="none"/>
                <w:u w:val="single"/>
              </w:rPr>
              <w:t>分前不得开启（填入开标时间）</w:t>
            </w:r>
          </w:p>
        </w:tc>
      </w:tr>
      <w:tr w14:paraId="0045ECF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945" w:type="dxa"/>
            <w:noWrap w:val="0"/>
            <w:vAlign w:val="center"/>
          </w:tcPr>
          <w:p w14:paraId="1EA0631D">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4.2.1</w:t>
            </w:r>
          </w:p>
        </w:tc>
        <w:tc>
          <w:tcPr>
            <w:tcW w:w="2100" w:type="dxa"/>
            <w:noWrap w:val="0"/>
            <w:vAlign w:val="center"/>
          </w:tcPr>
          <w:p w14:paraId="072B2F4A">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投标截止时间</w:t>
            </w:r>
          </w:p>
        </w:tc>
        <w:tc>
          <w:tcPr>
            <w:tcW w:w="6088" w:type="dxa"/>
            <w:noWrap w:val="0"/>
            <w:vAlign w:val="center"/>
          </w:tcPr>
          <w:p w14:paraId="40289D9E">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详见招标公告</w:t>
            </w:r>
          </w:p>
        </w:tc>
      </w:tr>
      <w:tr w14:paraId="3FB3200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6" w:hRule="atLeast"/>
        </w:trPr>
        <w:tc>
          <w:tcPr>
            <w:tcW w:w="945" w:type="dxa"/>
            <w:noWrap w:val="0"/>
            <w:vAlign w:val="center"/>
          </w:tcPr>
          <w:p w14:paraId="56BBEE57">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4.2.2（</w:t>
            </w:r>
            <w:r>
              <w:rPr>
                <w:rFonts w:ascii="宋体" w:hAnsi="宋体" w:eastAsia="宋体"/>
                <w:color w:val="auto"/>
                <w:szCs w:val="21"/>
                <w:highlight w:val="none"/>
              </w:rPr>
              <w:t>A）</w:t>
            </w:r>
          </w:p>
        </w:tc>
        <w:tc>
          <w:tcPr>
            <w:tcW w:w="2100" w:type="dxa"/>
            <w:noWrap w:val="0"/>
            <w:vAlign w:val="center"/>
          </w:tcPr>
          <w:p w14:paraId="0CA4175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递交投标文件地点</w:t>
            </w:r>
          </w:p>
        </w:tc>
        <w:tc>
          <w:tcPr>
            <w:tcW w:w="6088" w:type="dxa"/>
            <w:noWrap w:val="0"/>
            <w:vAlign w:val="center"/>
          </w:tcPr>
          <w:p w14:paraId="1B7A3D80">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1.递交方式：</w:t>
            </w:r>
            <w:r>
              <w:rPr>
                <w:rFonts w:hint="eastAsia" w:ascii="宋体" w:hAnsi="宋体" w:eastAsia="宋体"/>
                <w:color w:val="auto"/>
                <w:szCs w:val="21"/>
                <w:highlight w:val="none"/>
                <w:u w:val="single"/>
              </w:rPr>
              <w:t>现场凭授权委托书递交投标文件</w:t>
            </w:r>
          </w:p>
          <w:p w14:paraId="14F0CDE5">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2.递交投标文件的起始时间：</w:t>
            </w:r>
            <w:r>
              <w:rPr>
                <w:rFonts w:hint="eastAsia" w:ascii="宋体" w:hAnsi="宋体" w:eastAsia="宋体"/>
                <w:color w:val="auto"/>
                <w:szCs w:val="21"/>
                <w:highlight w:val="none"/>
                <w:u w:val="single"/>
              </w:rPr>
              <w:t>详见招标公告</w:t>
            </w:r>
          </w:p>
          <w:p w14:paraId="7405BEBA">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截止时间：</w:t>
            </w:r>
            <w:r>
              <w:rPr>
                <w:rFonts w:hint="eastAsia" w:ascii="宋体" w:hAnsi="宋体" w:eastAsia="宋体"/>
                <w:color w:val="auto"/>
                <w:szCs w:val="21"/>
                <w:highlight w:val="none"/>
                <w:u w:val="single"/>
              </w:rPr>
              <w:t>详见招标公告</w:t>
            </w:r>
          </w:p>
          <w:p w14:paraId="4B48139E">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3.地点：</w:t>
            </w:r>
            <w:r>
              <w:rPr>
                <w:rFonts w:hint="eastAsia" w:ascii="宋体" w:hAnsi="宋体" w:eastAsia="宋体"/>
                <w:color w:val="auto"/>
                <w:szCs w:val="21"/>
                <w:highlight w:val="none"/>
                <w:u w:val="single"/>
              </w:rPr>
              <w:t>详见招标公告</w:t>
            </w:r>
          </w:p>
          <w:p w14:paraId="4C52E226">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 xml:space="preserve">4.上述时间及地点是否有改变， </w:t>
            </w:r>
            <w:r>
              <w:rPr>
                <w:rFonts w:hint="eastAsia" w:ascii="宋体" w:hAnsi="宋体" w:eastAsia="宋体"/>
                <w:color w:val="auto"/>
                <w:szCs w:val="21"/>
                <w:highlight w:val="none"/>
              </w:rPr>
              <w:t>请密切留意招标答疑纪要的相关信息。</w:t>
            </w:r>
          </w:p>
        </w:tc>
      </w:tr>
      <w:tr w14:paraId="18AA312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945" w:type="dxa"/>
            <w:noWrap w:val="0"/>
            <w:vAlign w:val="center"/>
          </w:tcPr>
          <w:p w14:paraId="467814AF">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4.2.3</w:t>
            </w:r>
          </w:p>
        </w:tc>
        <w:tc>
          <w:tcPr>
            <w:tcW w:w="2100" w:type="dxa"/>
            <w:noWrap w:val="0"/>
            <w:vAlign w:val="center"/>
          </w:tcPr>
          <w:p w14:paraId="4AFD0B18">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投标文件是否退还</w:t>
            </w:r>
          </w:p>
        </w:tc>
        <w:tc>
          <w:tcPr>
            <w:tcW w:w="6088" w:type="dxa"/>
            <w:noWrap w:val="0"/>
            <w:vAlign w:val="center"/>
          </w:tcPr>
          <w:p w14:paraId="778455FE">
            <w:pPr>
              <w:pStyle w:val="10"/>
              <w:topLinePunct/>
              <w:spacing w:line="276" w:lineRule="auto"/>
              <w:rPr>
                <w:rFonts w:hAnsi="宋体"/>
                <w:color w:val="auto"/>
                <w:sz w:val="21"/>
                <w:szCs w:val="21"/>
                <w:highlight w:val="none"/>
              </w:rPr>
            </w:pPr>
            <w:r>
              <w:rPr>
                <w:rFonts w:hint="eastAsia" w:hAnsi="宋体"/>
                <w:color w:val="auto"/>
                <w:sz w:val="21"/>
                <w:szCs w:val="21"/>
                <w:highlight w:val="none"/>
              </w:rPr>
              <w:sym w:font="Wingdings" w:char="00FE"/>
            </w:r>
            <w:r>
              <w:rPr>
                <w:rFonts w:hint="eastAsia" w:hAnsi="宋体"/>
                <w:color w:val="auto"/>
                <w:sz w:val="21"/>
                <w:szCs w:val="21"/>
                <w:highlight w:val="none"/>
              </w:rPr>
              <w:t>否</w:t>
            </w:r>
          </w:p>
          <w:p w14:paraId="0FE62F07">
            <w:pPr>
              <w:pStyle w:val="10"/>
              <w:topLinePunct/>
              <w:spacing w:line="276" w:lineRule="auto"/>
              <w:rPr>
                <w:rFonts w:hAnsi="宋体"/>
                <w:color w:val="auto"/>
                <w:sz w:val="21"/>
                <w:szCs w:val="21"/>
                <w:highlight w:val="none"/>
              </w:rPr>
            </w:pPr>
            <w:r>
              <w:rPr>
                <w:rFonts w:hint="eastAsia" w:hAnsi="宋体"/>
                <w:color w:val="auto"/>
                <w:sz w:val="21"/>
                <w:szCs w:val="21"/>
                <w:highlight w:val="none"/>
              </w:rPr>
              <w:sym w:font="Wingdings" w:char="00A8"/>
            </w:r>
            <w:r>
              <w:rPr>
                <w:rFonts w:hint="eastAsia" w:hAnsi="宋体"/>
                <w:color w:val="auto"/>
                <w:sz w:val="21"/>
                <w:szCs w:val="21"/>
                <w:highlight w:val="none"/>
              </w:rPr>
              <w:t xml:space="preserve"> 是，退还时间：</w:t>
            </w:r>
          </w:p>
        </w:tc>
      </w:tr>
      <w:tr w14:paraId="2DB802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945" w:type="dxa"/>
            <w:noWrap w:val="0"/>
            <w:vAlign w:val="center"/>
          </w:tcPr>
          <w:p w14:paraId="57453A55">
            <w:pPr>
              <w:snapToGrid w:val="0"/>
              <w:spacing w:line="276" w:lineRule="auto"/>
              <w:jc w:val="center"/>
              <w:rPr>
                <w:rFonts w:ascii="宋体" w:hAnsi="宋体" w:eastAsia="宋体"/>
                <w:color w:val="auto"/>
                <w:szCs w:val="21"/>
                <w:highlight w:val="none"/>
              </w:rPr>
            </w:pPr>
            <w:r>
              <w:rPr>
                <w:rFonts w:ascii="宋体" w:hAnsi="宋体" w:eastAsia="宋体"/>
                <w:color w:val="auto"/>
                <w:szCs w:val="21"/>
                <w:highlight w:val="none"/>
              </w:rPr>
              <w:t>4.2.4</w:t>
            </w:r>
            <w:r>
              <w:rPr>
                <w:rFonts w:hint="eastAsia" w:ascii="宋体" w:hAnsi="宋体" w:eastAsia="宋体"/>
                <w:color w:val="auto"/>
                <w:szCs w:val="21"/>
                <w:highlight w:val="none"/>
              </w:rPr>
              <w:t>（</w:t>
            </w:r>
            <w:r>
              <w:rPr>
                <w:rFonts w:ascii="宋体" w:hAnsi="宋体" w:eastAsia="宋体"/>
                <w:color w:val="auto"/>
                <w:szCs w:val="21"/>
                <w:highlight w:val="none"/>
              </w:rPr>
              <w:t>A</w:t>
            </w:r>
            <w:r>
              <w:rPr>
                <w:rFonts w:hint="eastAsia" w:ascii="宋体" w:hAnsi="宋体" w:eastAsia="宋体"/>
                <w:color w:val="auto"/>
                <w:szCs w:val="21"/>
                <w:highlight w:val="none"/>
              </w:rPr>
              <w:t>）</w:t>
            </w:r>
          </w:p>
        </w:tc>
        <w:tc>
          <w:tcPr>
            <w:tcW w:w="2100" w:type="dxa"/>
            <w:noWrap w:val="0"/>
            <w:vAlign w:val="center"/>
          </w:tcPr>
          <w:p w14:paraId="4B08FE60">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招标人收到投标文件后，向投标人出具签收凭证。</w:t>
            </w:r>
          </w:p>
        </w:tc>
        <w:tc>
          <w:tcPr>
            <w:tcW w:w="6088" w:type="dxa"/>
            <w:noWrap w:val="0"/>
            <w:vAlign w:val="center"/>
          </w:tcPr>
          <w:p w14:paraId="151E5C9F">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w:t>
            </w:r>
          </w:p>
        </w:tc>
      </w:tr>
      <w:tr w14:paraId="7160627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0" w:hRule="atLeast"/>
        </w:trPr>
        <w:tc>
          <w:tcPr>
            <w:tcW w:w="945" w:type="dxa"/>
            <w:noWrap w:val="0"/>
            <w:vAlign w:val="center"/>
          </w:tcPr>
          <w:p w14:paraId="5A636A3F">
            <w:pPr>
              <w:snapToGrid w:val="0"/>
              <w:spacing w:line="276" w:lineRule="auto"/>
              <w:jc w:val="center"/>
              <w:rPr>
                <w:rFonts w:ascii="宋体" w:hAnsi="宋体" w:eastAsia="宋体"/>
                <w:color w:val="auto"/>
                <w:szCs w:val="21"/>
                <w:highlight w:val="none"/>
              </w:rPr>
            </w:pPr>
            <w:r>
              <w:rPr>
                <w:rFonts w:ascii="宋体" w:hAnsi="宋体" w:eastAsia="宋体"/>
                <w:color w:val="auto"/>
                <w:szCs w:val="21"/>
                <w:highlight w:val="none"/>
              </w:rPr>
              <w:t>4.2.5</w:t>
            </w:r>
            <w:r>
              <w:rPr>
                <w:rFonts w:hint="eastAsia" w:ascii="宋体" w:hAnsi="宋体" w:eastAsia="宋体"/>
                <w:color w:val="auto"/>
                <w:szCs w:val="21"/>
                <w:highlight w:val="none"/>
              </w:rPr>
              <w:t>（</w:t>
            </w:r>
            <w:r>
              <w:rPr>
                <w:rFonts w:ascii="宋体" w:hAnsi="宋体" w:eastAsia="宋体"/>
                <w:color w:val="auto"/>
                <w:szCs w:val="21"/>
                <w:highlight w:val="none"/>
              </w:rPr>
              <w:t>A</w:t>
            </w:r>
            <w:r>
              <w:rPr>
                <w:rFonts w:hint="eastAsia" w:ascii="宋体" w:hAnsi="宋体" w:eastAsia="宋体"/>
                <w:color w:val="auto"/>
                <w:szCs w:val="21"/>
                <w:highlight w:val="none"/>
              </w:rPr>
              <w:t>）</w:t>
            </w:r>
          </w:p>
        </w:tc>
        <w:tc>
          <w:tcPr>
            <w:tcW w:w="2100" w:type="dxa"/>
            <w:noWrap w:val="0"/>
            <w:vAlign w:val="center"/>
          </w:tcPr>
          <w:p w14:paraId="4B08C5CA">
            <w:pPr>
              <w:snapToGrid w:val="0"/>
              <w:spacing w:line="276" w:lineRule="auto"/>
              <w:jc w:val="center"/>
              <w:rPr>
                <w:rFonts w:ascii="宋体" w:hAnsi="宋体" w:eastAsia="宋体"/>
                <w:color w:val="auto"/>
                <w:szCs w:val="21"/>
                <w:highlight w:val="none"/>
              </w:rPr>
            </w:pPr>
            <w:r>
              <w:rPr>
                <w:rFonts w:ascii="宋体" w:hAnsi="宋体" w:eastAsia="宋体"/>
                <w:color w:val="auto"/>
                <w:szCs w:val="21"/>
                <w:highlight w:val="none"/>
              </w:rPr>
              <w:t>逾期送达的投标文件，招标人将予以拒收。</w:t>
            </w:r>
          </w:p>
        </w:tc>
        <w:tc>
          <w:tcPr>
            <w:tcW w:w="6088" w:type="dxa"/>
            <w:noWrap w:val="0"/>
            <w:vAlign w:val="center"/>
          </w:tcPr>
          <w:p w14:paraId="75E34F23">
            <w:pPr>
              <w:snapToGrid w:val="0"/>
              <w:spacing w:line="276" w:lineRule="auto"/>
              <w:rPr>
                <w:rFonts w:ascii="宋体" w:hAnsi="宋体" w:eastAsia="宋体"/>
                <w:color w:val="auto"/>
                <w:szCs w:val="21"/>
                <w:highlight w:val="none"/>
              </w:rPr>
            </w:pPr>
            <w:r>
              <w:rPr>
                <w:rFonts w:ascii="宋体" w:hAnsi="宋体" w:eastAsia="宋体"/>
                <w:color w:val="auto"/>
                <w:szCs w:val="21"/>
                <w:highlight w:val="none"/>
              </w:rPr>
              <w:t>/</w:t>
            </w:r>
          </w:p>
        </w:tc>
      </w:tr>
      <w:tr w14:paraId="65BB144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8" w:hRule="atLeast"/>
        </w:trPr>
        <w:tc>
          <w:tcPr>
            <w:tcW w:w="945" w:type="dxa"/>
            <w:noWrap w:val="0"/>
            <w:vAlign w:val="center"/>
          </w:tcPr>
          <w:p w14:paraId="10AA3347">
            <w:pPr>
              <w:snapToGrid w:val="0"/>
              <w:spacing w:line="276" w:lineRule="auto"/>
              <w:jc w:val="center"/>
              <w:rPr>
                <w:rFonts w:ascii="宋体" w:hAnsi="宋体" w:eastAsia="宋体"/>
                <w:color w:val="auto"/>
                <w:szCs w:val="21"/>
                <w:highlight w:val="none"/>
              </w:rPr>
            </w:pPr>
            <w:r>
              <w:rPr>
                <w:rFonts w:ascii="宋体" w:hAnsi="宋体" w:eastAsia="宋体"/>
                <w:color w:val="auto"/>
                <w:szCs w:val="21"/>
                <w:highlight w:val="none"/>
              </w:rPr>
              <w:t>5.1</w:t>
            </w:r>
            <w:r>
              <w:rPr>
                <w:rFonts w:hint="eastAsia" w:ascii="宋体" w:hAnsi="宋体" w:eastAsia="宋体"/>
                <w:color w:val="auto"/>
                <w:szCs w:val="21"/>
                <w:highlight w:val="none"/>
              </w:rPr>
              <w:t>（</w:t>
            </w:r>
            <w:r>
              <w:rPr>
                <w:rFonts w:ascii="宋体" w:hAnsi="宋体" w:eastAsia="宋体"/>
                <w:color w:val="auto"/>
                <w:szCs w:val="21"/>
                <w:highlight w:val="none"/>
              </w:rPr>
              <w:t>A</w:t>
            </w:r>
            <w:r>
              <w:rPr>
                <w:rFonts w:hint="eastAsia" w:ascii="宋体" w:hAnsi="宋体" w:eastAsia="宋体"/>
                <w:color w:val="auto"/>
                <w:szCs w:val="21"/>
                <w:highlight w:val="none"/>
              </w:rPr>
              <w:t>）</w:t>
            </w:r>
          </w:p>
        </w:tc>
        <w:tc>
          <w:tcPr>
            <w:tcW w:w="2100" w:type="dxa"/>
            <w:noWrap w:val="0"/>
            <w:vAlign w:val="center"/>
          </w:tcPr>
          <w:p w14:paraId="5BAC1298">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开标时间和地点</w:t>
            </w:r>
          </w:p>
        </w:tc>
        <w:tc>
          <w:tcPr>
            <w:tcW w:w="6088" w:type="dxa"/>
            <w:noWrap w:val="0"/>
            <w:vAlign w:val="center"/>
          </w:tcPr>
          <w:p w14:paraId="2A39B812">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详见招标公告</w:t>
            </w:r>
          </w:p>
        </w:tc>
      </w:tr>
      <w:tr w14:paraId="7725179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93" w:hRule="atLeast"/>
        </w:trPr>
        <w:tc>
          <w:tcPr>
            <w:tcW w:w="945" w:type="dxa"/>
            <w:noWrap w:val="0"/>
            <w:vAlign w:val="center"/>
          </w:tcPr>
          <w:p w14:paraId="7A8102BC">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5.1（</w:t>
            </w:r>
            <w:r>
              <w:rPr>
                <w:rFonts w:ascii="宋体" w:hAnsi="宋体" w:eastAsia="宋体"/>
                <w:color w:val="auto"/>
                <w:szCs w:val="21"/>
                <w:highlight w:val="none"/>
              </w:rPr>
              <w:t>B）</w:t>
            </w:r>
          </w:p>
        </w:tc>
        <w:tc>
          <w:tcPr>
            <w:tcW w:w="2100" w:type="dxa"/>
            <w:noWrap w:val="0"/>
            <w:vAlign w:val="center"/>
          </w:tcPr>
          <w:p w14:paraId="57A856EA">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开标时间和地点</w:t>
            </w:r>
          </w:p>
        </w:tc>
        <w:tc>
          <w:tcPr>
            <w:tcW w:w="6088" w:type="dxa"/>
            <w:noWrap w:val="0"/>
            <w:vAlign w:val="center"/>
          </w:tcPr>
          <w:p w14:paraId="1AB610AE">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本项目不适用。</w:t>
            </w:r>
          </w:p>
        </w:tc>
      </w:tr>
      <w:tr w14:paraId="099EC24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7" w:hRule="atLeast"/>
        </w:trPr>
        <w:tc>
          <w:tcPr>
            <w:tcW w:w="945" w:type="dxa"/>
            <w:noWrap w:val="0"/>
            <w:vAlign w:val="center"/>
          </w:tcPr>
          <w:p w14:paraId="39533C7C">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5.2（</w:t>
            </w:r>
            <w:r>
              <w:rPr>
                <w:rFonts w:ascii="宋体" w:hAnsi="宋体" w:eastAsia="宋体"/>
                <w:color w:val="auto"/>
                <w:szCs w:val="21"/>
                <w:highlight w:val="none"/>
              </w:rPr>
              <w:t>B）</w:t>
            </w:r>
          </w:p>
        </w:tc>
        <w:tc>
          <w:tcPr>
            <w:tcW w:w="2100" w:type="dxa"/>
            <w:noWrap w:val="0"/>
            <w:vAlign w:val="center"/>
          </w:tcPr>
          <w:p w14:paraId="005D0B44">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开标程序</w:t>
            </w:r>
          </w:p>
        </w:tc>
        <w:tc>
          <w:tcPr>
            <w:tcW w:w="6088" w:type="dxa"/>
            <w:noWrap w:val="0"/>
            <w:vAlign w:val="center"/>
          </w:tcPr>
          <w:p w14:paraId="7EC99211">
            <w:pPr>
              <w:snapToGrid w:val="0"/>
              <w:spacing w:line="276" w:lineRule="auto"/>
              <w:ind w:right="149" w:rightChars="71"/>
              <w:rPr>
                <w:rFonts w:ascii="宋体" w:hAnsi="宋体" w:eastAsia="宋体"/>
                <w:color w:val="auto"/>
                <w:szCs w:val="21"/>
                <w:highlight w:val="none"/>
              </w:rPr>
            </w:pPr>
            <w:r>
              <w:rPr>
                <w:rFonts w:hint="eastAsia" w:ascii="宋体" w:hAnsi="宋体" w:eastAsia="宋体"/>
                <w:color w:val="auto"/>
                <w:szCs w:val="21"/>
                <w:highlight w:val="none"/>
              </w:rPr>
              <w:t>本项目不适用。</w:t>
            </w:r>
          </w:p>
        </w:tc>
      </w:tr>
      <w:tr w14:paraId="51458FF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5" w:hRule="atLeast"/>
        </w:trPr>
        <w:tc>
          <w:tcPr>
            <w:tcW w:w="945" w:type="dxa"/>
            <w:noWrap w:val="0"/>
            <w:vAlign w:val="center"/>
          </w:tcPr>
          <w:p w14:paraId="3F7D2266">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6.1.1</w:t>
            </w:r>
          </w:p>
        </w:tc>
        <w:tc>
          <w:tcPr>
            <w:tcW w:w="2100" w:type="dxa"/>
            <w:noWrap w:val="0"/>
            <w:vAlign w:val="center"/>
          </w:tcPr>
          <w:p w14:paraId="5FA8B4F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评标委员会的组建</w:t>
            </w:r>
          </w:p>
        </w:tc>
        <w:tc>
          <w:tcPr>
            <w:tcW w:w="6088" w:type="dxa"/>
            <w:noWrap w:val="0"/>
            <w:vAlign w:val="center"/>
          </w:tcPr>
          <w:p w14:paraId="0CF79E03">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评标委员会由招标人负责组建。</w:t>
            </w:r>
          </w:p>
        </w:tc>
      </w:tr>
      <w:tr w14:paraId="266A50F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8" w:hRule="atLeast"/>
        </w:trPr>
        <w:tc>
          <w:tcPr>
            <w:tcW w:w="945" w:type="dxa"/>
            <w:noWrap w:val="0"/>
            <w:vAlign w:val="center"/>
          </w:tcPr>
          <w:p w14:paraId="2769CEBD">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6.3.2</w:t>
            </w:r>
          </w:p>
        </w:tc>
        <w:tc>
          <w:tcPr>
            <w:tcW w:w="2100" w:type="dxa"/>
            <w:noWrap w:val="0"/>
            <w:vAlign w:val="center"/>
          </w:tcPr>
          <w:p w14:paraId="03343B98">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评标委员会推荐中标候选人的人数</w:t>
            </w:r>
          </w:p>
        </w:tc>
        <w:tc>
          <w:tcPr>
            <w:tcW w:w="6088" w:type="dxa"/>
            <w:noWrap w:val="0"/>
            <w:vAlign w:val="center"/>
          </w:tcPr>
          <w:p w14:paraId="58D554C4">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推荐的中标候选人数：</w:t>
            </w:r>
            <w:r>
              <w:rPr>
                <w:rFonts w:ascii="宋体" w:hAnsi="宋体" w:eastAsia="宋体"/>
                <w:color w:val="auto"/>
                <w:szCs w:val="21"/>
                <w:highlight w:val="none"/>
                <w:u w:val="single"/>
              </w:rPr>
              <w:t xml:space="preserve"> 3 </w:t>
            </w:r>
            <w:r>
              <w:rPr>
                <w:rFonts w:hint="eastAsia" w:ascii="宋体" w:hAnsi="宋体" w:eastAsia="宋体"/>
                <w:color w:val="auto"/>
                <w:szCs w:val="21"/>
                <w:highlight w:val="none"/>
              </w:rPr>
              <w:t>人。</w:t>
            </w:r>
          </w:p>
        </w:tc>
      </w:tr>
      <w:tr w14:paraId="1228198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97" w:hRule="atLeast"/>
        </w:trPr>
        <w:tc>
          <w:tcPr>
            <w:tcW w:w="945" w:type="dxa"/>
            <w:noWrap w:val="0"/>
            <w:vAlign w:val="center"/>
          </w:tcPr>
          <w:p w14:paraId="0B688B8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7.1</w:t>
            </w:r>
          </w:p>
        </w:tc>
        <w:tc>
          <w:tcPr>
            <w:tcW w:w="2100" w:type="dxa"/>
            <w:noWrap w:val="0"/>
            <w:vAlign w:val="center"/>
          </w:tcPr>
          <w:p w14:paraId="3ED01322">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中标候选人公示媒介及期限</w:t>
            </w:r>
          </w:p>
        </w:tc>
        <w:tc>
          <w:tcPr>
            <w:tcW w:w="6088" w:type="dxa"/>
            <w:noWrap w:val="0"/>
            <w:vAlign w:val="center"/>
          </w:tcPr>
          <w:p w14:paraId="085E87A7">
            <w:pPr>
              <w:widowControl/>
              <w:snapToGrid w:val="0"/>
              <w:spacing w:line="276" w:lineRule="auto"/>
              <w:rPr>
                <w:rFonts w:ascii="宋体" w:hAnsi="宋体" w:eastAsia="宋体"/>
                <w:color w:val="auto"/>
                <w:szCs w:val="21"/>
                <w:highlight w:val="none"/>
                <w:u w:val="single"/>
              </w:rPr>
            </w:pPr>
            <w:r>
              <w:rPr>
                <w:rFonts w:hint="eastAsia" w:ascii="宋体" w:hAnsi="宋体" w:eastAsia="宋体"/>
                <w:color w:val="auto"/>
                <w:szCs w:val="21"/>
                <w:highlight w:val="none"/>
              </w:rPr>
              <w:t>公示媒介：</w:t>
            </w:r>
            <w:r>
              <w:rPr>
                <w:rFonts w:hint="eastAsia" w:ascii="宋体" w:hAnsi="宋体" w:eastAsia="宋体"/>
                <w:color w:val="auto"/>
                <w:szCs w:val="21"/>
                <w:highlight w:val="none"/>
                <w:u w:val="single"/>
              </w:rPr>
              <w:t>广东省招标投标监管网、</w:t>
            </w:r>
            <w:r>
              <w:rPr>
                <w:rFonts w:ascii="宋体" w:hAnsi="宋体" w:eastAsia="宋体"/>
                <w:color w:val="auto"/>
                <w:szCs w:val="21"/>
                <w:highlight w:val="none"/>
                <w:u w:val="single"/>
              </w:rPr>
              <w:t>中国招标投标公共服务平台</w:t>
            </w:r>
            <w:r>
              <w:rPr>
                <w:rFonts w:hint="eastAsia" w:ascii="宋体" w:hAnsi="宋体" w:eastAsia="宋体"/>
                <w:color w:val="auto"/>
                <w:szCs w:val="21"/>
                <w:highlight w:val="none"/>
                <w:u w:val="single"/>
              </w:rPr>
              <w:t>、广州建筑工程监理有限公司网。</w:t>
            </w:r>
          </w:p>
          <w:p w14:paraId="7E6D9BB9">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t>公示期限：</w:t>
            </w:r>
            <w:r>
              <w:rPr>
                <w:rFonts w:ascii="宋体" w:hAnsi="宋体" w:eastAsia="宋体"/>
                <w:color w:val="auto"/>
                <w:szCs w:val="21"/>
                <w:highlight w:val="none"/>
                <w:u w:val="single"/>
              </w:rPr>
              <w:t xml:space="preserve"> 3 </w:t>
            </w:r>
            <w:r>
              <w:rPr>
                <w:rFonts w:hint="eastAsia" w:ascii="宋体" w:hAnsi="宋体" w:eastAsia="宋体"/>
                <w:color w:val="auto"/>
                <w:szCs w:val="21"/>
                <w:highlight w:val="none"/>
              </w:rPr>
              <w:t>日</w:t>
            </w:r>
          </w:p>
        </w:tc>
      </w:tr>
      <w:tr w14:paraId="71177D5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64" w:hRule="atLeast"/>
        </w:trPr>
        <w:tc>
          <w:tcPr>
            <w:tcW w:w="945" w:type="dxa"/>
            <w:noWrap w:val="0"/>
            <w:vAlign w:val="center"/>
          </w:tcPr>
          <w:p w14:paraId="6468DB75">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7.4</w:t>
            </w:r>
          </w:p>
        </w:tc>
        <w:tc>
          <w:tcPr>
            <w:tcW w:w="2100" w:type="dxa"/>
            <w:noWrap w:val="0"/>
            <w:vAlign w:val="center"/>
          </w:tcPr>
          <w:p w14:paraId="4951257F">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是否授权评标委员会确定中标人</w:t>
            </w:r>
          </w:p>
        </w:tc>
        <w:tc>
          <w:tcPr>
            <w:tcW w:w="6088" w:type="dxa"/>
            <w:noWrap w:val="0"/>
            <w:vAlign w:val="center"/>
          </w:tcPr>
          <w:p w14:paraId="7BAF77BB">
            <w:pPr>
              <w:spacing w:line="276" w:lineRule="auto"/>
              <w:rPr>
                <w:rFonts w:ascii="宋体" w:hAnsi="宋体" w:eastAsia="宋体"/>
                <w:color w:val="auto"/>
                <w:szCs w:val="21"/>
                <w:highlight w:val="none"/>
              </w:rPr>
            </w:pPr>
            <w:r>
              <w:rPr>
                <w:rFonts w:hint="eastAsia" w:ascii="宋体" w:hAnsi="宋体" w:eastAsia="宋体"/>
                <w:color w:val="auto"/>
                <w:szCs w:val="21"/>
                <w:highlight w:val="none"/>
              </w:rPr>
              <w:sym w:font="Wingdings" w:char="00A8"/>
            </w:r>
            <w:r>
              <w:rPr>
                <w:rFonts w:ascii="宋体" w:hAnsi="宋体" w:eastAsia="宋体"/>
                <w:color w:val="auto"/>
                <w:szCs w:val="21"/>
                <w:highlight w:val="none"/>
              </w:rPr>
              <w:t xml:space="preserve"> </w:t>
            </w:r>
            <w:r>
              <w:rPr>
                <w:rFonts w:hint="eastAsia" w:ascii="宋体" w:hAnsi="宋体" w:eastAsia="宋体"/>
                <w:color w:val="auto"/>
                <w:szCs w:val="21"/>
                <w:highlight w:val="none"/>
              </w:rPr>
              <w:t>是</w:t>
            </w:r>
          </w:p>
          <w:p w14:paraId="6842944F">
            <w:pPr>
              <w:spacing w:line="276" w:lineRule="auto"/>
              <w:rPr>
                <w:rFonts w:ascii="宋体" w:hAnsi="宋体" w:eastAsia="宋体"/>
                <w:color w:val="auto"/>
                <w:szCs w:val="21"/>
                <w:highlight w:val="none"/>
              </w:rPr>
            </w:pPr>
            <w:r>
              <w:rPr>
                <w:rFonts w:hint="eastAsia" w:ascii="宋体" w:hAnsi="宋体" w:eastAsia="宋体"/>
                <w:color w:val="auto"/>
                <w:szCs w:val="21"/>
                <w:highlight w:val="none"/>
              </w:rPr>
              <w:sym w:font="Wingdings" w:char="00FE"/>
            </w:r>
            <w:r>
              <w:rPr>
                <w:rFonts w:hint="eastAsia" w:ascii="宋体" w:hAnsi="宋体" w:eastAsia="宋体"/>
                <w:color w:val="auto"/>
                <w:szCs w:val="21"/>
                <w:highlight w:val="none"/>
              </w:rPr>
              <w:t>否</w:t>
            </w:r>
          </w:p>
        </w:tc>
      </w:tr>
      <w:tr w14:paraId="6AC837A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0" w:hRule="atLeast"/>
        </w:trPr>
        <w:tc>
          <w:tcPr>
            <w:tcW w:w="945" w:type="dxa"/>
            <w:noWrap w:val="0"/>
            <w:vAlign w:val="center"/>
          </w:tcPr>
          <w:p w14:paraId="3F69065E">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9</w:t>
            </w:r>
          </w:p>
        </w:tc>
        <w:tc>
          <w:tcPr>
            <w:tcW w:w="2100" w:type="dxa"/>
            <w:noWrap w:val="0"/>
            <w:vAlign w:val="center"/>
          </w:tcPr>
          <w:p w14:paraId="2F6EED46">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是否采用电子招标投标</w:t>
            </w:r>
          </w:p>
        </w:tc>
        <w:tc>
          <w:tcPr>
            <w:tcW w:w="6088" w:type="dxa"/>
            <w:noWrap w:val="0"/>
            <w:vAlign w:val="center"/>
          </w:tcPr>
          <w:p w14:paraId="19C919F1">
            <w:pPr>
              <w:snapToGrid w:val="0"/>
              <w:spacing w:line="276" w:lineRule="auto"/>
              <w:rPr>
                <w:rFonts w:ascii="宋体" w:hAnsi="宋体" w:eastAsia="宋体"/>
                <w:color w:val="auto"/>
                <w:szCs w:val="21"/>
                <w:highlight w:val="none"/>
              </w:rPr>
            </w:pPr>
            <w:r>
              <w:rPr>
                <w:rFonts w:hint="eastAsia" w:ascii="宋体" w:hAnsi="宋体" w:eastAsia="宋体"/>
                <w:color w:val="auto"/>
                <w:szCs w:val="21"/>
                <w:highlight w:val="none"/>
              </w:rPr>
              <w:sym w:font="Wingdings" w:char="00FE"/>
            </w:r>
            <w:r>
              <w:rPr>
                <w:rFonts w:ascii="宋体" w:hAnsi="宋体" w:eastAsia="宋体"/>
                <w:color w:val="auto"/>
                <w:szCs w:val="21"/>
                <w:highlight w:val="none"/>
              </w:rPr>
              <w:t xml:space="preserve"> </w:t>
            </w:r>
            <w:r>
              <w:rPr>
                <w:rFonts w:hint="eastAsia" w:ascii="宋体" w:hAnsi="宋体" w:eastAsia="宋体"/>
                <w:color w:val="auto"/>
                <w:szCs w:val="21"/>
                <w:highlight w:val="none"/>
              </w:rPr>
              <w:t>否</w:t>
            </w:r>
          </w:p>
          <w:p w14:paraId="3A0BB799">
            <w:pPr>
              <w:spacing w:line="276" w:lineRule="auto"/>
              <w:rPr>
                <w:rFonts w:ascii="宋体" w:hAnsi="宋体" w:eastAsia="宋体"/>
                <w:color w:val="auto"/>
                <w:szCs w:val="21"/>
                <w:highlight w:val="none"/>
              </w:rPr>
            </w:pPr>
            <w:r>
              <w:rPr>
                <w:rFonts w:hint="eastAsia" w:ascii="宋体" w:hAnsi="宋体" w:eastAsia="宋体"/>
                <w:color w:val="auto"/>
                <w:szCs w:val="21"/>
                <w:highlight w:val="none"/>
              </w:rPr>
              <w:sym w:font="Wingdings" w:char="00A8"/>
            </w:r>
            <w:r>
              <w:rPr>
                <w:rFonts w:ascii="宋体" w:hAnsi="宋体" w:eastAsia="宋体"/>
                <w:color w:val="auto"/>
                <w:szCs w:val="21"/>
                <w:highlight w:val="none"/>
              </w:rPr>
              <w:t xml:space="preserve"> </w:t>
            </w:r>
            <w:r>
              <w:rPr>
                <w:rFonts w:hint="eastAsia" w:ascii="宋体" w:hAnsi="宋体" w:eastAsia="宋体"/>
                <w:color w:val="auto"/>
                <w:szCs w:val="21"/>
                <w:highlight w:val="none"/>
              </w:rPr>
              <w:t>是，具体要求：</w:t>
            </w:r>
            <w:r>
              <w:rPr>
                <w:rFonts w:ascii="宋体" w:hAnsi="宋体" w:eastAsia="宋体"/>
                <w:color w:val="auto"/>
                <w:szCs w:val="21"/>
                <w:highlight w:val="none"/>
              </w:rPr>
              <w:t>/</w:t>
            </w:r>
          </w:p>
        </w:tc>
      </w:tr>
      <w:tr w14:paraId="3703DAE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8" w:hRule="atLeast"/>
        </w:trPr>
        <w:tc>
          <w:tcPr>
            <w:tcW w:w="945" w:type="dxa"/>
            <w:noWrap w:val="0"/>
            <w:vAlign w:val="center"/>
          </w:tcPr>
          <w:p w14:paraId="07E8A07C">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10</w:t>
            </w:r>
          </w:p>
        </w:tc>
        <w:tc>
          <w:tcPr>
            <w:tcW w:w="2100" w:type="dxa"/>
            <w:noWrap w:val="0"/>
            <w:vAlign w:val="center"/>
          </w:tcPr>
          <w:p w14:paraId="2635DCA5">
            <w:pPr>
              <w:snapToGrid w:val="0"/>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需要补充的其他内容</w:t>
            </w:r>
          </w:p>
        </w:tc>
        <w:tc>
          <w:tcPr>
            <w:tcW w:w="6088" w:type="dxa"/>
            <w:noWrap w:val="0"/>
            <w:vAlign w:val="center"/>
          </w:tcPr>
          <w:p w14:paraId="2B5F6724">
            <w:pPr>
              <w:snapToGrid w:val="0"/>
              <w:spacing w:line="276" w:lineRule="auto"/>
              <w:rPr>
                <w:rFonts w:ascii="宋体" w:hAnsi="宋体" w:eastAsia="宋体"/>
                <w:color w:val="auto"/>
                <w:szCs w:val="21"/>
                <w:highlight w:val="none"/>
              </w:rPr>
            </w:pPr>
          </w:p>
        </w:tc>
      </w:tr>
      <w:tr w14:paraId="234C8A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52" w:hRule="atLeast"/>
        </w:trPr>
        <w:tc>
          <w:tcPr>
            <w:tcW w:w="945" w:type="dxa"/>
            <w:noWrap w:val="0"/>
            <w:vAlign w:val="center"/>
          </w:tcPr>
          <w:p w14:paraId="53D19BAD">
            <w:pPr>
              <w:pStyle w:val="107"/>
              <w:snapToGrid w:val="0"/>
              <w:spacing w:line="276" w:lineRule="auto"/>
              <w:jc w:val="center"/>
              <w:rPr>
                <w:rFonts w:ascii="宋体" w:hAnsi="宋体"/>
                <w:color w:val="auto"/>
                <w:szCs w:val="21"/>
                <w:highlight w:val="none"/>
              </w:rPr>
            </w:pPr>
            <w:r>
              <w:rPr>
                <w:rFonts w:hint="eastAsia" w:ascii="宋体" w:hAnsi="宋体"/>
                <w:color w:val="auto"/>
                <w:szCs w:val="21"/>
                <w:highlight w:val="none"/>
              </w:rPr>
              <w:t>10.1</w:t>
            </w:r>
          </w:p>
        </w:tc>
        <w:tc>
          <w:tcPr>
            <w:tcW w:w="2100" w:type="dxa"/>
            <w:noWrap w:val="0"/>
            <w:vAlign w:val="center"/>
          </w:tcPr>
          <w:p w14:paraId="6B132D02">
            <w:pPr>
              <w:pStyle w:val="107"/>
              <w:snapToGrid w:val="0"/>
              <w:spacing w:line="276" w:lineRule="auto"/>
              <w:jc w:val="center"/>
              <w:rPr>
                <w:rFonts w:ascii="宋体" w:hAnsi="宋体"/>
                <w:color w:val="auto"/>
                <w:szCs w:val="21"/>
                <w:highlight w:val="none"/>
              </w:rPr>
            </w:pPr>
            <w:r>
              <w:rPr>
                <w:rFonts w:hint="eastAsia" w:ascii="宋体" w:hAnsi="宋体"/>
                <w:color w:val="auto"/>
                <w:szCs w:val="21"/>
                <w:highlight w:val="none"/>
              </w:rPr>
              <w:t>招标失败的情形</w:t>
            </w:r>
          </w:p>
        </w:tc>
        <w:tc>
          <w:tcPr>
            <w:tcW w:w="6088" w:type="dxa"/>
            <w:noWrap w:val="0"/>
            <w:vAlign w:val="center"/>
          </w:tcPr>
          <w:p w14:paraId="14F17DEA">
            <w:pPr>
              <w:pStyle w:val="107"/>
              <w:snapToGrid w:val="0"/>
              <w:spacing w:line="276" w:lineRule="auto"/>
              <w:jc w:val="left"/>
              <w:rPr>
                <w:rFonts w:ascii="宋体" w:hAnsi="宋体"/>
                <w:color w:val="auto"/>
                <w:szCs w:val="21"/>
                <w:highlight w:val="none"/>
              </w:rPr>
            </w:pPr>
            <w:r>
              <w:rPr>
                <w:rFonts w:hint="eastAsia" w:ascii="宋体" w:hAnsi="宋体"/>
                <w:color w:val="auto"/>
                <w:szCs w:val="21"/>
                <w:highlight w:val="none"/>
              </w:rPr>
              <w:t>本项目递交投标文件或初步评审通过的投标申请人不足</w:t>
            </w:r>
            <w:r>
              <w:rPr>
                <w:rFonts w:ascii="宋体" w:hAnsi="宋体"/>
                <w:color w:val="auto"/>
                <w:szCs w:val="21"/>
                <w:highlight w:val="none"/>
              </w:rPr>
              <w:t>3名时为招标失败。</w:t>
            </w:r>
          </w:p>
        </w:tc>
      </w:tr>
    </w:tbl>
    <w:p w14:paraId="0C5B5F41">
      <w:pPr>
        <w:rPr>
          <w:rFonts w:ascii="宋体" w:hAnsi="宋体" w:eastAsia="宋体"/>
          <w:color w:val="auto"/>
          <w:highlight w:val="none"/>
        </w:rPr>
      </w:pPr>
    </w:p>
    <w:p w14:paraId="6680AC48">
      <w:pPr>
        <w:widowControl/>
        <w:jc w:val="left"/>
        <w:rPr>
          <w:rFonts w:ascii="宋体" w:hAnsi="宋体" w:eastAsia="宋体"/>
          <w:color w:val="auto"/>
          <w:highlight w:val="none"/>
        </w:rPr>
      </w:pPr>
      <w:r>
        <w:rPr>
          <w:rFonts w:ascii="宋体" w:hAnsi="宋体" w:eastAsia="宋体"/>
          <w:color w:val="auto"/>
          <w:highlight w:val="none"/>
        </w:rPr>
        <w:br w:type="page"/>
      </w:r>
    </w:p>
    <w:p w14:paraId="7EAB3946">
      <w:pPr>
        <w:pStyle w:val="3"/>
        <w:rPr>
          <w:color w:val="auto"/>
          <w:highlight w:val="none"/>
        </w:rPr>
      </w:pPr>
      <w:bookmarkStart w:id="13" w:name="_Toc138236321"/>
      <w:bookmarkStart w:id="14" w:name="_Toc1384"/>
      <w:r>
        <w:rPr>
          <w:color w:val="auto"/>
          <w:highlight w:val="none"/>
        </w:rPr>
        <w:t>1.总则</w:t>
      </w:r>
      <w:bookmarkEnd w:id="13"/>
      <w:bookmarkEnd w:id="14"/>
    </w:p>
    <w:p w14:paraId="6231ED1B">
      <w:pPr>
        <w:pStyle w:val="4"/>
        <w:spacing w:after="283" w:line="416" w:lineRule="auto"/>
        <w:ind w:left="132" w:firstLine="0" w:firstLineChars="0"/>
        <w:rPr>
          <w:rFonts w:ascii="宋体" w:hAnsi="宋体" w:eastAsia="宋体"/>
          <w:color w:val="auto"/>
          <w:highlight w:val="none"/>
        </w:rPr>
      </w:pPr>
      <w:bookmarkStart w:id="15" w:name="_Toc138236322"/>
      <w:bookmarkStart w:id="16" w:name="_Toc45266394"/>
      <w:bookmarkStart w:id="17" w:name="_Toc51055712"/>
      <w:bookmarkStart w:id="18" w:name="_Toc22514"/>
      <w:bookmarkStart w:id="19" w:name="_Toc133420468"/>
      <w:bookmarkStart w:id="20" w:name="_Toc36466563"/>
      <w:r>
        <w:rPr>
          <w:rFonts w:ascii="宋体" w:hAnsi="宋体" w:eastAsia="宋体"/>
          <w:color w:val="auto"/>
          <w:highlight w:val="none"/>
        </w:rPr>
        <w:t>1.1招标项目概况</w:t>
      </w:r>
      <w:bookmarkEnd w:id="15"/>
      <w:bookmarkEnd w:id="16"/>
      <w:bookmarkEnd w:id="17"/>
      <w:bookmarkEnd w:id="18"/>
      <w:bookmarkEnd w:id="19"/>
      <w:bookmarkEnd w:id="20"/>
    </w:p>
    <w:p w14:paraId="5C302191">
      <w:pPr>
        <w:spacing w:line="360" w:lineRule="auto"/>
        <w:ind w:firstLine="420" w:firstLineChars="200"/>
        <w:rPr>
          <w:rFonts w:ascii="宋体" w:hAnsi="宋体" w:eastAsia="宋体"/>
          <w:color w:val="auto"/>
          <w:highlight w:val="none"/>
        </w:rPr>
      </w:pPr>
      <w:r>
        <w:rPr>
          <w:rFonts w:ascii="宋体" w:hAnsi="宋体" w:eastAsia="宋体"/>
          <w:color w:val="auto"/>
          <w:highlight w:val="none"/>
        </w:rPr>
        <w:t>1.1.1根据</w:t>
      </w:r>
      <w:r>
        <w:rPr>
          <w:rFonts w:hint="eastAsia" w:ascii="宋体" w:hAnsi="宋体" w:eastAsia="宋体"/>
          <w:color w:val="auto"/>
          <w:highlight w:val="none"/>
        </w:rPr>
        <w:t>相关规定，本招标项目已具备招标条件，现对其进行招标。</w:t>
      </w:r>
    </w:p>
    <w:p w14:paraId="6FFABFBA">
      <w:pPr>
        <w:spacing w:line="360" w:lineRule="auto"/>
        <w:ind w:firstLine="420" w:firstLineChars="200"/>
        <w:rPr>
          <w:rFonts w:ascii="宋体" w:hAnsi="宋体" w:eastAsia="宋体"/>
          <w:color w:val="auto"/>
          <w:highlight w:val="none"/>
        </w:rPr>
      </w:pPr>
      <w:r>
        <w:rPr>
          <w:rFonts w:ascii="宋体" w:hAnsi="宋体" w:eastAsia="宋体"/>
          <w:color w:val="auto"/>
          <w:highlight w:val="none"/>
        </w:rPr>
        <w:t>1.1.2招标人：见投标人须知前附表。</w:t>
      </w:r>
    </w:p>
    <w:p w14:paraId="2E726522">
      <w:pPr>
        <w:spacing w:line="360" w:lineRule="auto"/>
        <w:ind w:firstLine="420" w:firstLineChars="200"/>
        <w:rPr>
          <w:rFonts w:ascii="宋体" w:hAnsi="宋体" w:eastAsia="宋体"/>
          <w:color w:val="auto"/>
          <w:highlight w:val="none"/>
        </w:rPr>
      </w:pPr>
      <w:r>
        <w:rPr>
          <w:rFonts w:ascii="宋体" w:hAnsi="宋体" w:eastAsia="宋体"/>
          <w:color w:val="auto"/>
          <w:highlight w:val="none"/>
        </w:rPr>
        <w:t>1.1.3招标代理机构：见投标人须知前附表。</w:t>
      </w:r>
    </w:p>
    <w:p w14:paraId="0F0BE7CB">
      <w:pPr>
        <w:spacing w:line="360" w:lineRule="auto"/>
        <w:ind w:firstLine="420" w:firstLineChars="200"/>
        <w:rPr>
          <w:rFonts w:ascii="宋体" w:hAnsi="宋体" w:eastAsia="宋体"/>
          <w:color w:val="auto"/>
          <w:highlight w:val="none"/>
        </w:rPr>
      </w:pPr>
      <w:r>
        <w:rPr>
          <w:rFonts w:ascii="宋体" w:hAnsi="宋体" w:eastAsia="宋体"/>
          <w:color w:val="auto"/>
          <w:highlight w:val="none"/>
        </w:rPr>
        <w:t>1.1.4招标项目名称：见投标人须知前附表。</w:t>
      </w:r>
    </w:p>
    <w:p w14:paraId="67035E77">
      <w:pPr>
        <w:spacing w:line="360" w:lineRule="auto"/>
        <w:ind w:firstLine="420" w:firstLineChars="200"/>
        <w:rPr>
          <w:rFonts w:ascii="宋体" w:hAnsi="宋体" w:eastAsia="宋体"/>
          <w:color w:val="auto"/>
          <w:highlight w:val="none"/>
        </w:rPr>
      </w:pPr>
      <w:r>
        <w:rPr>
          <w:rFonts w:ascii="宋体" w:hAnsi="宋体" w:eastAsia="宋体"/>
          <w:color w:val="auto"/>
          <w:highlight w:val="none"/>
        </w:rPr>
        <w:t>1.1.5项目地点：见投标人须知前附表。</w:t>
      </w:r>
    </w:p>
    <w:p w14:paraId="29CD6094">
      <w:pPr>
        <w:spacing w:line="360" w:lineRule="auto"/>
        <w:ind w:firstLine="420" w:firstLineChars="200"/>
        <w:rPr>
          <w:rFonts w:ascii="宋体" w:hAnsi="宋体" w:eastAsia="宋体"/>
          <w:color w:val="auto"/>
          <w:highlight w:val="none"/>
        </w:rPr>
      </w:pPr>
      <w:r>
        <w:rPr>
          <w:rFonts w:ascii="宋体" w:hAnsi="宋体" w:eastAsia="宋体"/>
          <w:color w:val="auto"/>
          <w:highlight w:val="none"/>
        </w:rPr>
        <w:t>1.1.6项目规模：见投标人须知前附表。</w:t>
      </w:r>
    </w:p>
    <w:p w14:paraId="75EC25FF">
      <w:pPr>
        <w:pStyle w:val="4"/>
        <w:spacing w:after="283" w:line="416" w:lineRule="auto"/>
        <w:ind w:left="132" w:firstLine="0" w:firstLineChars="0"/>
        <w:rPr>
          <w:rFonts w:ascii="宋体" w:hAnsi="宋体" w:eastAsia="宋体"/>
          <w:color w:val="auto"/>
          <w:highlight w:val="none"/>
        </w:rPr>
      </w:pPr>
      <w:bookmarkStart w:id="21" w:name="_Toc12979"/>
      <w:bookmarkStart w:id="22" w:name="_Toc51055713"/>
      <w:bookmarkStart w:id="23" w:name="_Toc36466564"/>
      <w:bookmarkStart w:id="24" w:name="_Toc45266395"/>
      <w:bookmarkStart w:id="25" w:name="_Toc138236323"/>
      <w:bookmarkStart w:id="26" w:name="_Toc133420469"/>
      <w:r>
        <w:rPr>
          <w:rFonts w:ascii="宋体" w:hAnsi="宋体" w:eastAsia="宋体"/>
          <w:color w:val="auto"/>
          <w:highlight w:val="none"/>
        </w:rPr>
        <w:t>1.2招标项目的资金来源和落实情况</w:t>
      </w:r>
      <w:bookmarkEnd w:id="21"/>
      <w:bookmarkEnd w:id="22"/>
      <w:bookmarkEnd w:id="23"/>
      <w:bookmarkEnd w:id="24"/>
      <w:bookmarkEnd w:id="25"/>
      <w:bookmarkEnd w:id="26"/>
    </w:p>
    <w:p w14:paraId="7E6B9AEE">
      <w:pPr>
        <w:spacing w:line="360" w:lineRule="auto"/>
        <w:ind w:firstLine="420" w:firstLineChars="200"/>
        <w:rPr>
          <w:rFonts w:ascii="宋体" w:hAnsi="宋体" w:eastAsia="宋体"/>
          <w:color w:val="auto"/>
          <w:highlight w:val="none"/>
        </w:rPr>
      </w:pPr>
      <w:r>
        <w:rPr>
          <w:rFonts w:ascii="宋体" w:hAnsi="宋体" w:eastAsia="宋体"/>
          <w:color w:val="auto"/>
          <w:highlight w:val="none"/>
        </w:rPr>
        <w:t>1.2.1资金来源及比例：见投标人须知前附表。</w:t>
      </w:r>
    </w:p>
    <w:p w14:paraId="6374ED87">
      <w:pPr>
        <w:spacing w:line="360" w:lineRule="auto"/>
        <w:ind w:firstLine="420" w:firstLineChars="200"/>
        <w:rPr>
          <w:rFonts w:ascii="宋体" w:hAnsi="宋体" w:eastAsia="宋体"/>
          <w:color w:val="auto"/>
          <w:highlight w:val="none"/>
        </w:rPr>
      </w:pPr>
      <w:r>
        <w:rPr>
          <w:rFonts w:ascii="宋体" w:hAnsi="宋体" w:eastAsia="宋体"/>
          <w:color w:val="auto"/>
          <w:highlight w:val="none"/>
        </w:rPr>
        <w:t>1.2.2资金落实情况：见投标人须知前附表。</w:t>
      </w:r>
    </w:p>
    <w:p w14:paraId="7DBCC945">
      <w:pPr>
        <w:pStyle w:val="4"/>
        <w:spacing w:after="283" w:line="416" w:lineRule="auto"/>
        <w:ind w:left="132" w:firstLine="0" w:firstLineChars="0"/>
        <w:rPr>
          <w:rFonts w:ascii="宋体" w:hAnsi="宋体" w:eastAsia="宋体"/>
          <w:color w:val="auto"/>
          <w:highlight w:val="none"/>
        </w:rPr>
      </w:pPr>
      <w:bookmarkStart w:id="27" w:name="_Toc36466565"/>
      <w:bookmarkStart w:id="28" w:name="_Toc45266396"/>
      <w:bookmarkStart w:id="29" w:name="_Toc51055714"/>
      <w:bookmarkStart w:id="30" w:name="_Toc138236324"/>
      <w:bookmarkStart w:id="31" w:name="_Toc133420470"/>
      <w:bookmarkStart w:id="32" w:name="_Toc17790"/>
      <w:r>
        <w:rPr>
          <w:rFonts w:ascii="宋体" w:hAnsi="宋体" w:eastAsia="宋体"/>
          <w:color w:val="auto"/>
          <w:highlight w:val="none"/>
        </w:rPr>
        <w:t xml:space="preserve">1.3 </w:t>
      </w:r>
      <w:r>
        <w:rPr>
          <w:rFonts w:hint="eastAsia" w:ascii="宋体" w:hAnsi="宋体" w:eastAsia="宋体"/>
          <w:color w:val="auto"/>
          <w:highlight w:val="none"/>
        </w:rPr>
        <w:t>招标范围、服务期限和质量标准</w:t>
      </w:r>
      <w:bookmarkEnd w:id="27"/>
      <w:bookmarkEnd w:id="28"/>
      <w:bookmarkEnd w:id="29"/>
      <w:bookmarkEnd w:id="30"/>
      <w:bookmarkEnd w:id="31"/>
      <w:bookmarkEnd w:id="32"/>
    </w:p>
    <w:p w14:paraId="5A658B0C">
      <w:pPr>
        <w:spacing w:line="360" w:lineRule="auto"/>
        <w:ind w:firstLine="420" w:firstLineChars="200"/>
        <w:rPr>
          <w:rFonts w:ascii="宋体" w:hAnsi="宋体" w:eastAsia="宋体"/>
          <w:color w:val="auto"/>
          <w:highlight w:val="none"/>
        </w:rPr>
      </w:pPr>
      <w:r>
        <w:rPr>
          <w:rFonts w:ascii="宋体" w:hAnsi="宋体" w:eastAsia="宋体"/>
          <w:color w:val="auto"/>
          <w:highlight w:val="none"/>
        </w:rPr>
        <w:t>1.3.1招标范围：见投标人须知前附表。</w:t>
      </w:r>
    </w:p>
    <w:p w14:paraId="676BD9BA">
      <w:pPr>
        <w:spacing w:line="360" w:lineRule="auto"/>
        <w:ind w:firstLine="420" w:firstLineChars="200"/>
        <w:rPr>
          <w:rFonts w:ascii="宋体" w:hAnsi="宋体" w:eastAsia="宋体"/>
          <w:color w:val="auto"/>
          <w:highlight w:val="none"/>
        </w:rPr>
      </w:pPr>
      <w:r>
        <w:rPr>
          <w:rFonts w:ascii="宋体" w:hAnsi="宋体" w:eastAsia="宋体"/>
          <w:color w:val="auto"/>
          <w:highlight w:val="none"/>
        </w:rPr>
        <w:t>1.3.2服务期限：见投标人须知前附表。</w:t>
      </w:r>
    </w:p>
    <w:p w14:paraId="27A216F7">
      <w:pPr>
        <w:spacing w:line="360" w:lineRule="auto"/>
        <w:ind w:firstLine="420" w:firstLineChars="200"/>
        <w:rPr>
          <w:rFonts w:ascii="宋体" w:hAnsi="宋体" w:eastAsia="宋体"/>
          <w:color w:val="auto"/>
          <w:highlight w:val="none"/>
        </w:rPr>
      </w:pPr>
      <w:r>
        <w:rPr>
          <w:rFonts w:ascii="宋体" w:hAnsi="宋体" w:eastAsia="宋体"/>
          <w:color w:val="auto"/>
          <w:highlight w:val="none"/>
        </w:rPr>
        <w:t>1.3.3质量标准：见投标人须知前附表。</w:t>
      </w:r>
    </w:p>
    <w:p w14:paraId="543735A7">
      <w:pPr>
        <w:pStyle w:val="4"/>
        <w:spacing w:after="283" w:line="416" w:lineRule="auto"/>
        <w:ind w:left="132" w:firstLine="0" w:firstLineChars="0"/>
        <w:rPr>
          <w:rFonts w:ascii="宋体" w:hAnsi="宋体" w:eastAsia="宋体"/>
          <w:color w:val="auto"/>
          <w:highlight w:val="none"/>
        </w:rPr>
      </w:pPr>
      <w:bookmarkStart w:id="33" w:name="_Toc36466566"/>
      <w:bookmarkStart w:id="34" w:name="_Toc138236325"/>
      <w:bookmarkStart w:id="35" w:name="_Toc5476"/>
      <w:bookmarkStart w:id="36" w:name="_Toc51055715"/>
      <w:bookmarkStart w:id="37" w:name="_Toc133420471"/>
      <w:bookmarkStart w:id="38" w:name="_Toc45266397"/>
      <w:r>
        <w:rPr>
          <w:rFonts w:ascii="宋体" w:hAnsi="宋体" w:eastAsia="宋体"/>
          <w:color w:val="auto"/>
          <w:highlight w:val="none"/>
        </w:rPr>
        <w:t>1.4投标人资格要求</w:t>
      </w:r>
      <w:bookmarkEnd w:id="33"/>
      <w:bookmarkEnd w:id="34"/>
      <w:bookmarkEnd w:id="35"/>
      <w:bookmarkEnd w:id="36"/>
      <w:bookmarkEnd w:id="37"/>
      <w:bookmarkEnd w:id="38"/>
    </w:p>
    <w:p w14:paraId="3ECF0D94">
      <w:pPr>
        <w:spacing w:line="360" w:lineRule="auto"/>
        <w:ind w:firstLine="420" w:firstLineChars="200"/>
        <w:rPr>
          <w:rFonts w:ascii="宋体" w:hAnsi="宋体" w:eastAsia="宋体"/>
          <w:color w:val="auto"/>
          <w:highlight w:val="none"/>
        </w:rPr>
      </w:pPr>
      <w:r>
        <w:rPr>
          <w:rFonts w:ascii="宋体" w:hAnsi="宋体" w:eastAsia="宋体"/>
          <w:color w:val="auto"/>
          <w:highlight w:val="none"/>
        </w:rPr>
        <w:t>1.4.1投标人应具备承担本招标项目资质条件、能力和信誉：</w:t>
      </w:r>
    </w:p>
    <w:p w14:paraId="4EC5679E">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1）资质要求：见投标人须知前附表；</w:t>
      </w:r>
    </w:p>
    <w:p w14:paraId="61642DD2">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2）财务要求：见投标人须知前附表；</w:t>
      </w:r>
    </w:p>
    <w:p w14:paraId="07D31CE1">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3）业绩要求：见投标人须知前附表；</w:t>
      </w:r>
    </w:p>
    <w:p w14:paraId="55744B55">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4）信誉要求：见投标人须知前附表；</w:t>
      </w:r>
    </w:p>
    <w:p w14:paraId="099CDB39">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5）项目负责人的资格要求：见投标人须知前附表；</w:t>
      </w:r>
    </w:p>
    <w:p w14:paraId="075498A4">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6）其他主要人员要求：见投标人须知前附表。</w:t>
      </w:r>
    </w:p>
    <w:p w14:paraId="2F2AE72B">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7）检测仪器设备要求：见投标人须知前附表。</w:t>
      </w:r>
    </w:p>
    <w:p w14:paraId="43F1A740">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 xml:space="preserve">8）其他要求：见投标人须知前附表。 </w:t>
      </w:r>
    </w:p>
    <w:p w14:paraId="34AFC706">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需要提交的相关证明材料见本章第</w:t>
      </w:r>
      <w:r>
        <w:rPr>
          <w:rFonts w:ascii="宋体" w:hAnsi="宋体" w:eastAsia="宋体"/>
          <w:color w:val="auto"/>
          <w:highlight w:val="none"/>
        </w:rPr>
        <w:t xml:space="preserve"> 3.5 </w:t>
      </w:r>
      <w:r>
        <w:rPr>
          <w:rFonts w:hint="eastAsia" w:ascii="宋体" w:hAnsi="宋体" w:eastAsia="宋体"/>
          <w:color w:val="auto"/>
          <w:highlight w:val="none"/>
        </w:rPr>
        <w:t>款的规定。</w:t>
      </w:r>
    </w:p>
    <w:p w14:paraId="5386EEAD">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1.4.2投标人须知前附表规定接受联合体投标的，联合体除应符合本章第1.4.1 </w:t>
      </w:r>
      <w:r>
        <w:rPr>
          <w:rFonts w:hint="eastAsia" w:ascii="宋体" w:hAnsi="宋体" w:eastAsia="宋体"/>
          <w:color w:val="auto"/>
          <w:highlight w:val="none"/>
        </w:rPr>
        <w:t>项和投标人须知前附表的要求外，还应遵守以下规定：</w:t>
      </w:r>
    </w:p>
    <w:p w14:paraId="1660D0B9">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1）联合体各方应按招标文件提供的格式签订联合体协议书，明确联合体牵头人（或主办方）和各方权利义务，并承诺就中标项目向招标人承担连带责任；</w:t>
      </w:r>
    </w:p>
    <w:p w14:paraId="2A440230">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2）由同一专业的单位组成的联合体，按照资质等级较低的单位确定资质等级；</w:t>
      </w:r>
    </w:p>
    <w:p w14:paraId="57FF2D55">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3）联合体各方不得再以自己名义单独或参加其他联合体在本招标项目中投标，</w:t>
      </w:r>
      <w:r>
        <w:rPr>
          <w:rFonts w:hint="eastAsia" w:ascii="宋体" w:hAnsi="宋体" w:eastAsia="宋体"/>
          <w:color w:val="auto"/>
          <w:highlight w:val="none"/>
        </w:rPr>
        <w:t>否则各相关投标均无效。</w:t>
      </w:r>
    </w:p>
    <w:p w14:paraId="16D9DF39">
      <w:pPr>
        <w:spacing w:line="360" w:lineRule="auto"/>
        <w:ind w:firstLine="420" w:firstLineChars="200"/>
        <w:rPr>
          <w:rFonts w:ascii="宋体" w:hAnsi="宋体" w:eastAsia="宋体"/>
          <w:color w:val="auto"/>
          <w:highlight w:val="none"/>
        </w:rPr>
      </w:pPr>
      <w:r>
        <w:rPr>
          <w:rFonts w:ascii="宋体" w:hAnsi="宋体" w:eastAsia="宋体"/>
          <w:color w:val="auto"/>
          <w:highlight w:val="none"/>
        </w:rPr>
        <w:t>1.4.3投标人不得存在下列情形之一：</w:t>
      </w:r>
    </w:p>
    <w:p w14:paraId="0DEAE6DF">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1）为招标人不具有独立法人资格的附属机构（单位）；</w:t>
      </w:r>
    </w:p>
    <w:p w14:paraId="2E799F60">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2）与招标人存在利害关系且可能影响招标公正性；</w:t>
      </w:r>
    </w:p>
    <w:p w14:paraId="4991C2E5">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3）与本招标项目的其他投标人为同一个单位负责人；</w:t>
      </w:r>
    </w:p>
    <w:p w14:paraId="61E83B01">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4）与本招标项目的其他投标人存在控股、管理关系；</w:t>
      </w:r>
    </w:p>
    <w:p w14:paraId="75EDEFCE">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5</w:t>
      </w:r>
      <w:r>
        <w:rPr>
          <w:rFonts w:hint="eastAsia" w:ascii="宋体" w:hAnsi="宋体" w:eastAsia="宋体"/>
          <w:color w:val="auto"/>
          <w:highlight w:val="none"/>
          <w:u w:val="single"/>
        </w:rPr>
        <w:t>）为本招标项目的招标代理机构；</w:t>
      </w:r>
    </w:p>
    <w:p w14:paraId="1DAEEF7C">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6</w:t>
      </w:r>
      <w:r>
        <w:rPr>
          <w:rFonts w:hint="eastAsia" w:ascii="宋体" w:hAnsi="宋体" w:eastAsia="宋体"/>
          <w:color w:val="auto"/>
          <w:highlight w:val="none"/>
          <w:u w:val="single"/>
        </w:rPr>
        <w:t>）与本招标项目的招标代理机构同为一个法定代表人；</w:t>
      </w:r>
    </w:p>
    <w:p w14:paraId="5DACA339">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7</w:t>
      </w:r>
      <w:r>
        <w:rPr>
          <w:rFonts w:hint="eastAsia" w:ascii="宋体" w:hAnsi="宋体" w:eastAsia="宋体"/>
          <w:color w:val="auto"/>
          <w:highlight w:val="none"/>
          <w:u w:val="single"/>
        </w:rPr>
        <w:t>）与本招标项目的招标代理机构存在控股或参股关系；</w:t>
      </w:r>
    </w:p>
    <w:p w14:paraId="4C9924B9">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8</w:t>
      </w:r>
      <w:r>
        <w:rPr>
          <w:rFonts w:hint="eastAsia" w:ascii="宋体" w:hAnsi="宋体" w:eastAsia="宋体"/>
          <w:color w:val="auto"/>
          <w:highlight w:val="none"/>
          <w:u w:val="single"/>
        </w:rPr>
        <w:t>）被依法暂停或者取消投标资格；</w:t>
      </w:r>
    </w:p>
    <w:p w14:paraId="1F0A83FF">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9</w:t>
      </w:r>
      <w:r>
        <w:rPr>
          <w:rFonts w:hint="eastAsia" w:ascii="宋体" w:hAnsi="宋体" w:eastAsia="宋体"/>
          <w:color w:val="auto"/>
          <w:highlight w:val="none"/>
          <w:u w:val="single"/>
        </w:rPr>
        <w:t>）被责令停产停业、暂扣或者吊销许可证、暂扣或者吊销执照；</w:t>
      </w:r>
    </w:p>
    <w:p w14:paraId="358FAA48">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10</w:t>
      </w:r>
      <w:r>
        <w:rPr>
          <w:rFonts w:hint="eastAsia" w:ascii="宋体" w:hAnsi="宋体" w:eastAsia="宋体"/>
          <w:color w:val="auto"/>
          <w:highlight w:val="none"/>
          <w:u w:val="single"/>
        </w:rPr>
        <w:t>）进入清算程序，或被宣告破产，或其他丧失履约能力的情形；</w:t>
      </w:r>
    </w:p>
    <w:p w14:paraId="26258648">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11</w:t>
      </w:r>
      <w:r>
        <w:rPr>
          <w:rFonts w:hint="eastAsia" w:ascii="宋体" w:hAnsi="宋体" w:eastAsia="宋体"/>
          <w:color w:val="auto"/>
          <w:highlight w:val="none"/>
          <w:u w:val="single"/>
        </w:rPr>
        <w:t>）被人民法院列入失信被执行人名单；</w:t>
      </w:r>
    </w:p>
    <w:p w14:paraId="6CFA14C7">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w:t>
      </w:r>
      <w:r>
        <w:rPr>
          <w:rFonts w:ascii="宋体" w:hAnsi="宋体" w:eastAsia="宋体"/>
          <w:color w:val="auto"/>
          <w:highlight w:val="none"/>
          <w:u w:val="single"/>
        </w:rPr>
        <w:t>12</w:t>
      </w:r>
      <w:r>
        <w:rPr>
          <w:rFonts w:hint="eastAsia" w:ascii="宋体" w:hAnsi="宋体" w:eastAsia="宋体"/>
          <w:color w:val="auto"/>
          <w:highlight w:val="none"/>
          <w:u w:val="single"/>
        </w:rPr>
        <w:t>）法律法规或投标人须知前附表规定的其他情形。</w:t>
      </w:r>
    </w:p>
    <w:p w14:paraId="512F4B0E">
      <w:pPr>
        <w:pStyle w:val="4"/>
        <w:spacing w:after="283" w:line="416" w:lineRule="auto"/>
        <w:ind w:left="132" w:firstLine="0" w:firstLineChars="0"/>
        <w:rPr>
          <w:rFonts w:ascii="宋体" w:hAnsi="宋体" w:eastAsia="宋体"/>
          <w:color w:val="auto"/>
          <w:highlight w:val="none"/>
        </w:rPr>
      </w:pPr>
      <w:bookmarkStart w:id="39" w:name="_Toc133420472"/>
      <w:bookmarkStart w:id="40" w:name="_Toc138236326"/>
      <w:bookmarkStart w:id="41" w:name="_Toc51055716"/>
      <w:bookmarkStart w:id="42" w:name="_Toc36466567"/>
      <w:bookmarkStart w:id="43" w:name="_Toc45266398"/>
      <w:bookmarkStart w:id="44" w:name="_Toc30862"/>
      <w:r>
        <w:rPr>
          <w:rFonts w:ascii="宋体" w:hAnsi="宋体" w:eastAsia="宋体"/>
          <w:color w:val="auto"/>
          <w:highlight w:val="none"/>
        </w:rPr>
        <w:t>1.5费用承担</w:t>
      </w:r>
      <w:bookmarkEnd w:id="39"/>
      <w:bookmarkEnd w:id="40"/>
      <w:bookmarkEnd w:id="41"/>
      <w:bookmarkEnd w:id="42"/>
      <w:bookmarkEnd w:id="43"/>
      <w:bookmarkEnd w:id="44"/>
    </w:p>
    <w:p w14:paraId="3C39B8B3">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投标人准备和参加投标活动发生的费用自理。</w:t>
      </w:r>
    </w:p>
    <w:p w14:paraId="54C8FB73">
      <w:pPr>
        <w:pStyle w:val="4"/>
        <w:spacing w:after="283" w:line="416" w:lineRule="auto"/>
        <w:ind w:left="132" w:firstLine="0" w:firstLineChars="0"/>
        <w:rPr>
          <w:rFonts w:ascii="宋体" w:hAnsi="宋体" w:eastAsia="宋体"/>
          <w:color w:val="auto"/>
          <w:highlight w:val="none"/>
        </w:rPr>
      </w:pPr>
      <w:bookmarkStart w:id="45" w:name="_Toc51055717"/>
      <w:bookmarkStart w:id="46" w:name="_Toc45266399"/>
      <w:bookmarkStart w:id="47" w:name="_Toc21361"/>
      <w:bookmarkStart w:id="48" w:name="_Toc138236327"/>
      <w:bookmarkStart w:id="49" w:name="_Toc133420473"/>
      <w:bookmarkStart w:id="50" w:name="_Toc36466568"/>
      <w:r>
        <w:rPr>
          <w:rFonts w:ascii="宋体" w:hAnsi="宋体" w:eastAsia="宋体"/>
          <w:color w:val="auto"/>
          <w:highlight w:val="none"/>
        </w:rPr>
        <w:t>1.6保密</w:t>
      </w:r>
      <w:bookmarkEnd w:id="45"/>
      <w:bookmarkEnd w:id="46"/>
      <w:bookmarkEnd w:id="47"/>
      <w:bookmarkEnd w:id="48"/>
      <w:bookmarkEnd w:id="49"/>
      <w:bookmarkEnd w:id="50"/>
    </w:p>
    <w:p w14:paraId="6F1B4AC0">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参与招标投标活动的各方应对招标文件和投标文件中的商业和技术等秘密保密，否则应承</w:t>
      </w:r>
      <w:r>
        <w:rPr>
          <w:rFonts w:ascii="宋体" w:hAnsi="宋体" w:eastAsia="宋体"/>
          <w:color w:val="auto"/>
          <w:highlight w:val="none"/>
        </w:rPr>
        <w:t xml:space="preserve"> </w:t>
      </w:r>
      <w:r>
        <w:rPr>
          <w:rFonts w:hint="eastAsia" w:ascii="宋体" w:hAnsi="宋体" w:eastAsia="宋体"/>
          <w:color w:val="auto"/>
          <w:highlight w:val="none"/>
        </w:rPr>
        <w:t>担相应的法律责任。</w:t>
      </w:r>
    </w:p>
    <w:p w14:paraId="5CC3D117">
      <w:pPr>
        <w:pStyle w:val="4"/>
        <w:spacing w:after="283" w:line="416" w:lineRule="auto"/>
        <w:ind w:left="132" w:firstLine="0" w:firstLineChars="0"/>
        <w:rPr>
          <w:rFonts w:ascii="宋体" w:hAnsi="宋体" w:eastAsia="宋体"/>
          <w:color w:val="auto"/>
          <w:highlight w:val="none"/>
        </w:rPr>
      </w:pPr>
      <w:bookmarkStart w:id="51" w:name="_Toc45266400"/>
      <w:bookmarkStart w:id="52" w:name="_Toc133420474"/>
      <w:bookmarkStart w:id="53" w:name="_Toc36466569"/>
      <w:bookmarkStart w:id="54" w:name="_Toc51055718"/>
      <w:bookmarkStart w:id="55" w:name="_Toc32469"/>
      <w:bookmarkStart w:id="56" w:name="_Toc138236328"/>
      <w:r>
        <w:rPr>
          <w:rFonts w:ascii="宋体" w:hAnsi="宋体" w:eastAsia="宋体"/>
          <w:color w:val="auto"/>
          <w:highlight w:val="none"/>
        </w:rPr>
        <w:t>1.7语言文字</w:t>
      </w:r>
      <w:bookmarkEnd w:id="51"/>
      <w:bookmarkEnd w:id="52"/>
      <w:bookmarkEnd w:id="53"/>
      <w:bookmarkEnd w:id="54"/>
      <w:bookmarkEnd w:id="55"/>
      <w:bookmarkEnd w:id="56"/>
    </w:p>
    <w:p w14:paraId="010AEF96">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招标投标文件使用的语言文字为中文。专用术语使用外文的，应附有中文注释。</w:t>
      </w:r>
    </w:p>
    <w:p w14:paraId="7489EF2D">
      <w:pPr>
        <w:pStyle w:val="4"/>
        <w:spacing w:after="283" w:line="416" w:lineRule="auto"/>
        <w:ind w:left="132" w:firstLine="0" w:firstLineChars="0"/>
        <w:rPr>
          <w:rFonts w:ascii="宋体" w:hAnsi="宋体" w:eastAsia="宋体"/>
          <w:color w:val="auto"/>
          <w:highlight w:val="none"/>
        </w:rPr>
      </w:pPr>
      <w:bookmarkStart w:id="57" w:name="_Toc51055719"/>
      <w:bookmarkStart w:id="58" w:name="_Toc36466570"/>
      <w:bookmarkStart w:id="59" w:name="_Toc138236329"/>
      <w:bookmarkStart w:id="60" w:name="_Toc45266401"/>
      <w:bookmarkStart w:id="61" w:name="_Toc11503"/>
      <w:bookmarkStart w:id="62" w:name="_Toc133420475"/>
      <w:r>
        <w:rPr>
          <w:rFonts w:ascii="宋体" w:hAnsi="宋体" w:eastAsia="宋体"/>
          <w:color w:val="auto"/>
          <w:highlight w:val="none"/>
        </w:rPr>
        <w:t>1.8计量单位</w:t>
      </w:r>
      <w:bookmarkEnd w:id="57"/>
      <w:bookmarkEnd w:id="58"/>
      <w:bookmarkEnd w:id="59"/>
      <w:bookmarkEnd w:id="60"/>
      <w:bookmarkEnd w:id="61"/>
      <w:bookmarkEnd w:id="62"/>
    </w:p>
    <w:p w14:paraId="5C74866E">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所有计量均采用中华人民共和国法定计量单位。</w:t>
      </w:r>
    </w:p>
    <w:p w14:paraId="376B2995">
      <w:pPr>
        <w:pStyle w:val="4"/>
        <w:spacing w:after="283" w:line="416" w:lineRule="auto"/>
        <w:ind w:left="132" w:firstLine="0" w:firstLineChars="0"/>
        <w:rPr>
          <w:rFonts w:ascii="宋体" w:hAnsi="宋体" w:eastAsia="宋体"/>
          <w:color w:val="auto"/>
          <w:highlight w:val="none"/>
        </w:rPr>
      </w:pPr>
      <w:bookmarkStart w:id="63" w:name="_Toc36466571"/>
      <w:bookmarkStart w:id="64" w:name="_Toc133420476"/>
      <w:bookmarkStart w:id="65" w:name="_Toc45266402"/>
      <w:bookmarkStart w:id="66" w:name="_Toc51055720"/>
      <w:bookmarkStart w:id="67" w:name="_Toc138236330"/>
      <w:bookmarkStart w:id="68" w:name="_Toc9346"/>
      <w:r>
        <w:rPr>
          <w:rFonts w:ascii="宋体" w:hAnsi="宋体" w:eastAsia="宋体"/>
          <w:color w:val="auto"/>
          <w:highlight w:val="none"/>
        </w:rPr>
        <w:t>1.9踏勘现场</w:t>
      </w:r>
      <w:bookmarkEnd w:id="63"/>
      <w:bookmarkEnd w:id="64"/>
      <w:bookmarkEnd w:id="65"/>
      <w:bookmarkEnd w:id="66"/>
      <w:bookmarkEnd w:id="67"/>
      <w:bookmarkEnd w:id="68"/>
    </w:p>
    <w:p w14:paraId="549EFAF7">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1.9.1投标人须知前附表规定组织踏勘现场的，招标人按投标人须知前附表规定的时间、地 </w:t>
      </w:r>
      <w:r>
        <w:rPr>
          <w:rFonts w:hint="eastAsia" w:ascii="宋体" w:hAnsi="宋体" w:eastAsia="宋体"/>
          <w:color w:val="auto"/>
          <w:highlight w:val="none"/>
        </w:rPr>
        <w:t>点组织投标人踏勘项目现场。部分投标人未按时参加踏勘现场的，不影响踏勘现场的正常进行。</w:t>
      </w:r>
    </w:p>
    <w:p w14:paraId="3F77F9C3">
      <w:pPr>
        <w:spacing w:line="360" w:lineRule="auto"/>
        <w:ind w:firstLine="420" w:firstLineChars="200"/>
        <w:rPr>
          <w:rFonts w:ascii="宋体" w:hAnsi="宋体" w:eastAsia="宋体"/>
          <w:color w:val="auto"/>
          <w:highlight w:val="none"/>
        </w:rPr>
      </w:pPr>
      <w:r>
        <w:rPr>
          <w:rFonts w:ascii="宋体" w:hAnsi="宋体" w:eastAsia="宋体"/>
          <w:color w:val="auto"/>
          <w:highlight w:val="none"/>
        </w:rPr>
        <w:t>1.9.2投标人踏勘现场发生的费用自理。</w:t>
      </w:r>
    </w:p>
    <w:p w14:paraId="27C08914">
      <w:pPr>
        <w:spacing w:line="360" w:lineRule="auto"/>
        <w:ind w:firstLine="420" w:firstLineChars="200"/>
        <w:rPr>
          <w:rFonts w:ascii="宋体" w:hAnsi="宋体" w:eastAsia="宋体"/>
          <w:color w:val="auto"/>
          <w:highlight w:val="none"/>
        </w:rPr>
      </w:pPr>
      <w:r>
        <w:rPr>
          <w:rFonts w:ascii="宋体" w:hAnsi="宋体" w:eastAsia="宋体"/>
          <w:color w:val="auto"/>
          <w:highlight w:val="none"/>
        </w:rPr>
        <w:t>1.9.3除招标人的原因外，投标人自行负责在踏勘现场中所发生的人员伤亡和财产损失。</w:t>
      </w:r>
    </w:p>
    <w:p w14:paraId="2A59D876">
      <w:pPr>
        <w:spacing w:line="360" w:lineRule="auto"/>
        <w:ind w:firstLine="420" w:firstLineChars="200"/>
        <w:rPr>
          <w:rFonts w:ascii="宋体" w:hAnsi="宋体" w:eastAsia="宋体"/>
          <w:color w:val="auto"/>
          <w:highlight w:val="none"/>
        </w:rPr>
      </w:pPr>
      <w:r>
        <w:rPr>
          <w:rFonts w:ascii="宋体" w:hAnsi="宋体" w:eastAsia="宋体"/>
          <w:color w:val="auto"/>
          <w:highlight w:val="none"/>
        </w:rPr>
        <w:t>1.9.4招标人在踏勘现场中介绍的工程场地和相关的周边环境情况，供投标人在编制投标文件时参考，招标人不对投标人据此</w:t>
      </w:r>
      <w:r>
        <w:rPr>
          <w:rFonts w:hint="eastAsia" w:ascii="宋体" w:hAnsi="宋体" w:eastAsia="宋体"/>
          <w:color w:val="auto"/>
          <w:highlight w:val="none"/>
        </w:rPr>
        <w:t>作出的判断和决策负责。</w:t>
      </w:r>
    </w:p>
    <w:p w14:paraId="673C2475">
      <w:pPr>
        <w:pStyle w:val="4"/>
        <w:spacing w:after="283" w:line="416" w:lineRule="auto"/>
        <w:ind w:left="132" w:firstLine="0" w:firstLineChars="0"/>
        <w:rPr>
          <w:rFonts w:ascii="宋体" w:hAnsi="宋体" w:eastAsia="宋体"/>
          <w:color w:val="auto"/>
          <w:highlight w:val="none"/>
        </w:rPr>
      </w:pPr>
      <w:bookmarkStart w:id="69" w:name="_Toc133420477"/>
      <w:bookmarkStart w:id="70" w:name="_Toc138236331"/>
      <w:bookmarkStart w:id="71" w:name="_Toc51055721"/>
      <w:bookmarkStart w:id="72" w:name="_Toc45266403"/>
      <w:bookmarkStart w:id="73" w:name="_Toc36466572"/>
      <w:bookmarkStart w:id="74" w:name="_Toc16406"/>
      <w:r>
        <w:rPr>
          <w:rFonts w:ascii="宋体" w:hAnsi="宋体" w:eastAsia="宋体"/>
          <w:color w:val="auto"/>
          <w:highlight w:val="none"/>
        </w:rPr>
        <w:t>1.10投标预备会</w:t>
      </w:r>
      <w:bookmarkEnd w:id="69"/>
      <w:bookmarkEnd w:id="70"/>
      <w:bookmarkEnd w:id="71"/>
      <w:bookmarkEnd w:id="72"/>
      <w:bookmarkEnd w:id="73"/>
      <w:bookmarkEnd w:id="74"/>
    </w:p>
    <w:p w14:paraId="270877DE">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1.10.1投标人须知前附表规定召开投标预备会的，招标人按投标人须知前附表规定的时间 </w:t>
      </w:r>
      <w:r>
        <w:rPr>
          <w:rFonts w:hint="eastAsia" w:ascii="宋体" w:hAnsi="宋体" w:eastAsia="宋体"/>
          <w:color w:val="auto"/>
          <w:highlight w:val="none"/>
        </w:rPr>
        <w:t>和地点召开投标预备会，澄清投标人提出的问题。</w:t>
      </w:r>
    </w:p>
    <w:p w14:paraId="52E6F1E5">
      <w:pPr>
        <w:spacing w:line="360" w:lineRule="auto"/>
        <w:ind w:firstLine="420" w:firstLineChars="200"/>
        <w:rPr>
          <w:rFonts w:ascii="宋体" w:hAnsi="宋体" w:eastAsia="宋体"/>
          <w:color w:val="auto"/>
          <w:highlight w:val="none"/>
        </w:rPr>
      </w:pPr>
      <w:r>
        <w:rPr>
          <w:rFonts w:ascii="宋体" w:hAnsi="宋体" w:eastAsia="宋体"/>
          <w:color w:val="auto"/>
          <w:highlight w:val="none"/>
        </w:rPr>
        <w:t>1.10.2投标人应按投标人须知前附表规定的时间和形式将提出的问题送达招标人，以便招标人在会议期间澄清。</w:t>
      </w:r>
    </w:p>
    <w:p w14:paraId="62A7B589">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1.10.3投标预备会后，招标人将对投标人所提问题的澄清，以投标人须知前附表规定的形 </w:t>
      </w:r>
      <w:r>
        <w:rPr>
          <w:rFonts w:hint="eastAsia" w:ascii="宋体" w:hAnsi="宋体" w:eastAsia="宋体"/>
          <w:color w:val="auto"/>
          <w:highlight w:val="none"/>
        </w:rPr>
        <w:t>式通知所有购买招标文件的投标人。该澄清内容为招标文件的组成部分。</w:t>
      </w:r>
    </w:p>
    <w:p w14:paraId="31F9985F">
      <w:pPr>
        <w:pStyle w:val="4"/>
        <w:spacing w:after="283" w:line="416" w:lineRule="auto"/>
        <w:ind w:left="132" w:firstLine="0" w:firstLineChars="0"/>
        <w:rPr>
          <w:rFonts w:ascii="宋体" w:hAnsi="宋体" w:eastAsia="宋体"/>
          <w:color w:val="auto"/>
          <w:highlight w:val="none"/>
        </w:rPr>
      </w:pPr>
      <w:bookmarkStart w:id="75" w:name="_Toc133420478"/>
      <w:bookmarkStart w:id="76" w:name="_Toc51055722"/>
      <w:bookmarkStart w:id="77" w:name="_Toc138236332"/>
      <w:bookmarkStart w:id="78" w:name="_Toc36466573"/>
      <w:bookmarkStart w:id="79" w:name="_Toc45266404"/>
      <w:bookmarkStart w:id="80" w:name="_Toc3748"/>
      <w:r>
        <w:rPr>
          <w:rFonts w:ascii="宋体" w:hAnsi="宋体" w:eastAsia="宋体"/>
          <w:color w:val="auto"/>
          <w:highlight w:val="none"/>
        </w:rPr>
        <w:t>1.11分包</w:t>
      </w:r>
      <w:bookmarkEnd w:id="75"/>
      <w:bookmarkEnd w:id="76"/>
      <w:bookmarkEnd w:id="77"/>
      <w:bookmarkEnd w:id="78"/>
      <w:bookmarkEnd w:id="79"/>
      <w:bookmarkEnd w:id="80"/>
    </w:p>
    <w:p w14:paraId="2840A078">
      <w:pPr>
        <w:ind w:left="520" w:right="-20"/>
        <w:jc w:val="left"/>
        <w:rPr>
          <w:rFonts w:ascii="宋体" w:hAnsi="宋体" w:eastAsia="宋体"/>
          <w:color w:val="auto"/>
          <w:highlight w:val="none"/>
        </w:rPr>
      </w:pPr>
      <w:r>
        <w:rPr>
          <w:rFonts w:ascii="宋体" w:hAnsi="宋体" w:eastAsia="宋体"/>
          <w:color w:val="auto"/>
          <w:highlight w:val="none"/>
        </w:rPr>
        <w:t>本项目严禁</w:t>
      </w:r>
      <w:r>
        <w:rPr>
          <w:rFonts w:hint="eastAsia" w:ascii="宋体" w:hAnsi="宋体" w:eastAsia="宋体"/>
          <w:color w:val="auto"/>
          <w:highlight w:val="none"/>
        </w:rPr>
        <w:t>违法</w:t>
      </w:r>
      <w:r>
        <w:rPr>
          <w:rFonts w:ascii="宋体" w:hAnsi="宋体" w:eastAsia="宋体"/>
          <w:color w:val="auto"/>
          <w:highlight w:val="none"/>
        </w:rPr>
        <w:t>分包。</w:t>
      </w:r>
    </w:p>
    <w:p w14:paraId="65E59DAB">
      <w:pPr>
        <w:pStyle w:val="4"/>
        <w:spacing w:after="283" w:line="416" w:lineRule="auto"/>
        <w:ind w:left="132" w:firstLine="0" w:firstLineChars="0"/>
        <w:rPr>
          <w:rFonts w:ascii="宋体" w:hAnsi="宋体" w:eastAsia="宋体"/>
          <w:color w:val="auto"/>
          <w:highlight w:val="none"/>
        </w:rPr>
      </w:pPr>
      <w:bookmarkStart w:id="81" w:name="_Toc133420479"/>
      <w:bookmarkStart w:id="82" w:name="_Toc138236333"/>
      <w:bookmarkStart w:id="83" w:name="_Toc1672"/>
      <w:bookmarkStart w:id="84" w:name="_Toc51055723"/>
      <w:bookmarkStart w:id="85" w:name="_Toc45266405"/>
      <w:bookmarkStart w:id="86" w:name="_Toc36466574"/>
      <w:r>
        <w:rPr>
          <w:rFonts w:ascii="宋体" w:hAnsi="宋体" w:eastAsia="宋体"/>
          <w:color w:val="auto"/>
          <w:highlight w:val="none"/>
        </w:rPr>
        <w:t>1.12响应和偏差</w:t>
      </w:r>
      <w:bookmarkEnd w:id="81"/>
      <w:bookmarkEnd w:id="82"/>
      <w:bookmarkEnd w:id="83"/>
      <w:bookmarkEnd w:id="84"/>
      <w:bookmarkEnd w:id="85"/>
      <w:bookmarkEnd w:id="86"/>
    </w:p>
    <w:p w14:paraId="60C2832D">
      <w:pPr>
        <w:spacing w:line="360" w:lineRule="auto"/>
        <w:ind w:firstLine="420" w:firstLineChars="200"/>
        <w:rPr>
          <w:rFonts w:ascii="宋体" w:hAnsi="宋体" w:eastAsia="宋体"/>
          <w:color w:val="auto"/>
          <w:highlight w:val="none"/>
        </w:rPr>
      </w:pPr>
      <w:r>
        <w:rPr>
          <w:rFonts w:ascii="宋体" w:hAnsi="宋体" w:eastAsia="宋体"/>
          <w:color w:val="auto"/>
          <w:highlight w:val="none"/>
        </w:rPr>
        <w:t>1.12.1投标文件应当对招标文件的实质性要求和条件</w:t>
      </w:r>
      <w:r>
        <w:rPr>
          <w:rFonts w:hint="eastAsia" w:ascii="宋体" w:hAnsi="宋体" w:eastAsia="宋体"/>
          <w:color w:val="auto"/>
          <w:highlight w:val="none"/>
        </w:rPr>
        <w:t>作出满足性或更有利于招标人的响应，否则，投标人的投标将被否决。实质性要求和条件见投标人须知前附表。</w:t>
      </w:r>
    </w:p>
    <w:p w14:paraId="65307ACB">
      <w:pPr>
        <w:spacing w:line="360" w:lineRule="auto"/>
        <w:ind w:firstLine="420" w:firstLineChars="200"/>
        <w:rPr>
          <w:rFonts w:ascii="宋体" w:hAnsi="宋体" w:eastAsia="宋体"/>
          <w:color w:val="auto"/>
          <w:highlight w:val="none"/>
        </w:rPr>
      </w:pPr>
      <w:r>
        <w:rPr>
          <w:rFonts w:ascii="宋体" w:hAnsi="宋体" w:eastAsia="宋体"/>
          <w:color w:val="auto"/>
          <w:highlight w:val="none"/>
        </w:rPr>
        <w:t>1.12.2投标人应根据招标文件的要求提供投标技术服务方案等内容以对招标文件</w:t>
      </w:r>
      <w:r>
        <w:rPr>
          <w:rFonts w:hint="eastAsia" w:ascii="宋体" w:hAnsi="宋体" w:eastAsia="宋体"/>
          <w:color w:val="auto"/>
          <w:highlight w:val="none"/>
        </w:rPr>
        <w:t>作出响应。</w:t>
      </w:r>
    </w:p>
    <w:p w14:paraId="579E7EC9">
      <w:pPr>
        <w:spacing w:line="360" w:lineRule="auto"/>
        <w:ind w:firstLine="420" w:firstLineChars="200"/>
        <w:rPr>
          <w:rFonts w:ascii="宋体" w:hAnsi="宋体" w:eastAsia="宋体"/>
          <w:color w:val="auto"/>
          <w:highlight w:val="none"/>
        </w:rPr>
      </w:pPr>
      <w:r>
        <w:rPr>
          <w:rFonts w:ascii="宋体" w:hAnsi="宋体" w:eastAsia="宋体"/>
          <w:color w:val="auto"/>
          <w:highlight w:val="none"/>
        </w:rPr>
        <w:t>1.12.3投标人须知前附表允许投标文件偏离招标文件某些要求的，偏差应当符合招标文件规定的偏差范围和幅度。</w:t>
      </w:r>
    </w:p>
    <w:p w14:paraId="1EB0A0B9">
      <w:pPr>
        <w:pStyle w:val="3"/>
        <w:rPr>
          <w:color w:val="auto"/>
          <w:highlight w:val="none"/>
        </w:rPr>
      </w:pPr>
      <w:bookmarkStart w:id="87" w:name="_Toc24033"/>
      <w:bookmarkStart w:id="88" w:name="_Toc138236334"/>
      <w:r>
        <w:rPr>
          <w:color w:val="auto"/>
          <w:highlight w:val="none"/>
        </w:rPr>
        <w:t>2.招标文件</w:t>
      </w:r>
      <w:bookmarkEnd w:id="87"/>
      <w:bookmarkEnd w:id="88"/>
    </w:p>
    <w:p w14:paraId="4B39A33B">
      <w:pPr>
        <w:pStyle w:val="4"/>
        <w:spacing w:after="283" w:line="416" w:lineRule="auto"/>
        <w:ind w:left="132" w:firstLine="0" w:firstLineChars="0"/>
        <w:rPr>
          <w:rFonts w:ascii="宋体" w:hAnsi="宋体" w:eastAsia="宋体"/>
          <w:color w:val="auto"/>
          <w:highlight w:val="none"/>
        </w:rPr>
      </w:pPr>
      <w:bookmarkStart w:id="89" w:name="_Toc138236335"/>
      <w:bookmarkStart w:id="90" w:name="_Toc45266407"/>
      <w:bookmarkStart w:id="91" w:name="_Toc36466576"/>
      <w:bookmarkStart w:id="92" w:name="_Toc133420481"/>
      <w:bookmarkStart w:id="93" w:name="_Toc51055725"/>
      <w:bookmarkStart w:id="94" w:name="_Toc7610"/>
      <w:r>
        <w:rPr>
          <w:rFonts w:ascii="宋体" w:hAnsi="宋体" w:eastAsia="宋体"/>
          <w:color w:val="auto"/>
          <w:highlight w:val="none"/>
        </w:rPr>
        <w:t>2.1招标文件的组成</w:t>
      </w:r>
      <w:bookmarkEnd w:id="89"/>
      <w:bookmarkEnd w:id="90"/>
      <w:bookmarkEnd w:id="91"/>
      <w:bookmarkEnd w:id="92"/>
      <w:bookmarkEnd w:id="93"/>
      <w:bookmarkEnd w:id="94"/>
    </w:p>
    <w:p w14:paraId="1D63646C">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本招标文件包括：</w:t>
      </w:r>
    </w:p>
    <w:p w14:paraId="47795080">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1）招标公告</w:t>
      </w:r>
    </w:p>
    <w:p w14:paraId="77E9B007">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2）投标人须知；</w:t>
      </w:r>
    </w:p>
    <w:p w14:paraId="3EECBFD1">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3）评标办法；</w:t>
      </w:r>
    </w:p>
    <w:p w14:paraId="7D95B259">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4）合同条款及格式；</w:t>
      </w:r>
    </w:p>
    <w:p w14:paraId="46EC9CC2">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5）</w:t>
      </w:r>
      <w:r>
        <w:rPr>
          <w:rFonts w:hint="eastAsia" w:ascii="宋体" w:hAnsi="宋体" w:eastAsia="宋体"/>
          <w:color w:val="auto"/>
          <w:highlight w:val="none"/>
          <w:lang w:eastAsia="zh-CN"/>
        </w:rPr>
        <w:t>招标人需求</w:t>
      </w:r>
      <w:r>
        <w:rPr>
          <w:rFonts w:ascii="宋体" w:hAnsi="宋体" w:eastAsia="宋体"/>
          <w:color w:val="auto"/>
          <w:highlight w:val="none"/>
        </w:rPr>
        <w:t>；</w:t>
      </w:r>
    </w:p>
    <w:p w14:paraId="69A767A0">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6）投标文件格式；</w:t>
      </w:r>
    </w:p>
    <w:p w14:paraId="5401C6E1">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7）投标人须知前附表规定的其他资料。</w:t>
      </w:r>
    </w:p>
    <w:p w14:paraId="6812E012">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根据本章第</w:t>
      </w:r>
      <w:r>
        <w:rPr>
          <w:rFonts w:ascii="宋体" w:hAnsi="宋体" w:eastAsia="宋体"/>
          <w:color w:val="auto"/>
          <w:highlight w:val="none"/>
        </w:rPr>
        <w:t xml:space="preserve"> 1.10 </w:t>
      </w:r>
      <w:r>
        <w:rPr>
          <w:rFonts w:hint="eastAsia" w:ascii="宋体" w:hAnsi="宋体" w:eastAsia="宋体"/>
          <w:color w:val="auto"/>
          <w:highlight w:val="none"/>
        </w:rPr>
        <w:t>款、第</w:t>
      </w:r>
      <w:r>
        <w:rPr>
          <w:rFonts w:ascii="宋体" w:hAnsi="宋体" w:eastAsia="宋体"/>
          <w:color w:val="auto"/>
          <w:highlight w:val="none"/>
        </w:rPr>
        <w:t xml:space="preserve"> 2.2 </w:t>
      </w:r>
      <w:r>
        <w:rPr>
          <w:rFonts w:hint="eastAsia" w:ascii="宋体" w:hAnsi="宋体" w:eastAsia="宋体"/>
          <w:color w:val="auto"/>
          <w:highlight w:val="none"/>
        </w:rPr>
        <w:t>款和第</w:t>
      </w:r>
      <w:r>
        <w:rPr>
          <w:rFonts w:ascii="宋体" w:hAnsi="宋体" w:eastAsia="宋体"/>
          <w:color w:val="auto"/>
          <w:highlight w:val="none"/>
        </w:rPr>
        <w:t xml:space="preserve"> 2.3 </w:t>
      </w:r>
      <w:r>
        <w:rPr>
          <w:rFonts w:hint="eastAsia" w:ascii="宋体" w:hAnsi="宋体" w:eastAsia="宋体"/>
          <w:color w:val="auto"/>
          <w:highlight w:val="none"/>
        </w:rPr>
        <w:t>款对招标文件所作的澄清、修改，构成招标文件的组成部分。</w:t>
      </w:r>
    </w:p>
    <w:p w14:paraId="3FBA83F8">
      <w:pPr>
        <w:pStyle w:val="4"/>
        <w:spacing w:after="283" w:line="416" w:lineRule="auto"/>
        <w:ind w:left="132" w:firstLine="0" w:firstLineChars="0"/>
        <w:rPr>
          <w:rFonts w:ascii="宋体" w:hAnsi="宋体" w:eastAsia="宋体"/>
          <w:color w:val="auto"/>
          <w:highlight w:val="none"/>
        </w:rPr>
      </w:pPr>
      <w:bookmarkStart w:id="95" w:name="_Toc51055726"/>
      <w:bookmarkStart w:id="96" w:name="_Toc17332"/>
      <w:bookmarkStart w:id="97" w:name="_Toc45266408"/>
      <w:bookmarkStart w:id="98" w:name="_Toc138236336"/>
      <w:bookmarkStart w:id="99" w:name="_Toc133420482"/>
      <w:bookmarkStart w:id="100" w:name="_Toc36466577"/>
      <w:r>
        <w:rPr>
          <w:rFonts w:ascii="宋体" w:hAnsi="宋体" w:eastAsia="宋体"/>
          <w:color w:val="auto"/>
          <w:highlight w:val="none"/>
        </w:rPr>
        <w:t>2.2招标文件的澄清</w:t>
      </w:r>
      <w:bookmarkEnd w:id="95"/>
      <w:bookmarkEnd w:id="96"/>
      <w:bookmarkEnd w:id="97"/>
      <w:bookmarkEnd w:id="98"/>
      <w:bookmarkEnd w:id="99"/>
      <w:bookmarkEnd w:id="100"/>
    </w:p>
    <w:p w14:paraId="79DCB544">
      <w:pPr>
        <w:spacing w:line="360" w:lineRule="auto"/>
        <w:ind w:firstLine="420" w:firstLineChars="200"/>
        <w:rPr>
          <w:rFonts w:ascii="宋体" w:hAnsi="宋体" w:eastAsia="宋体"/>
          <w:color w:val="auto"/>
          <w:highlight w:val="none"/>
        </w:rPr>
      </w:pPr>
      <w:r>
        <w:rPr>
          <w:rFonts w:ascii="宋体" w:hAnsi="宋体" w:eastAsia="宋体"/>
          <w:color w:val="auto"/>
          <w:highlight w:val="none"/>
        </w:rPr>
        <w:t>2.2.1投标人应仔细阅读和检查招标文件的全部内容。如发现缺页或附件不全，应</w:t>
      </w:r>
      <w:r>
        <w:rPr>
          <w:rFonts w:hint="eastAsia" w:ascii="宋体" w:hAnsi="宋体" w:eastAsia="宋体"/>
          <w:color w:val="auto"/>
          <w:highlight w:val="none"/>
        </w:rPr>
        <w:t>及时向招</w:t>
      </w:r>
      <w:r>
        <w:rPr>
          <w:rFonts w:ascii="宋体" w:hAnsi="宋体" w:eastAsia="宋体"/>
          <w:color w:val="auto"/>
          <w:highlight w:val="none"/>
        </w:rPr>
        <w:t xml:space="preserve"> 标人提出，以便补齐。如有疑问，应按投标人须知前附表规定的时间和形式将提出的问题送达招标人，要求招标人对招标文件予以澄清。</w:t>
      </w:r>
    </w:p>
    <w:p w14:paraId="0BB659A6">
      <w:pPr>
        <w:spacing w:line="360" w:lineRule="auto"/>
        <w:ind w:firstLine="420" w:firstLineChars="200"/>
        <w:rPr>
          <w:rFonts w:ascii="宋体" w:hAnsi="宋体" w:eastAsia="宋体"/>
          <w:color w:val="auto"/>
          <w:highlight w:val="none"/>
        </w:rPr>
      </w:pPr>
      <w:r>
        <w:rPr>
          <w:rFonts w:ascii="宋体" w:hAnsi="宋体" w:eastAsia="宋体"/>
          <w:color w:val="auto"/>
          <w:highlight w:val="none"/>
        </w:rPr>
        <w:t>2.2.2招标文件的澄清以投标人须知前附表规定的形式发给所有购买招标文件的投标人，但不指明澄清问题的来源。澄清发出的时间距本章第4.2.1项规定的投标截止时间不足15日的，并且澄清内容可能影响投标文件编制的，将相应延长投标截止时间。</w:t>
      </w:r>
    </w:p>
    <w:p w14:paraId="37DD0258">
      <w:pPr>
        <w:spacing w:line="360" w:lineRule="auto"/>
        <w:ind w:firstLine="420" w:firstLineChars="200"/>
        <w:rPr>
          <w:rFonts w:ascii="宋体" w:hAnsi="宋体" w:eastAsia="宋体"/>
          <w:color w:val="auto"/>
          <w:highlight w:val="none"/>
        </w:rPr>
      </w:pPr>
      <w:r>
        <w:rPr>
          <w:rFonts w:ascii="宋体" w:hAnsi="宋体" w:eastAsia="宋体"/>
          <w:color w:val="auto"/>
          <w:highlight w:val="none"/>
        </w:rPr>
        <w:t>2.2.3投标人在收到澄清后，应按投标人须知前附表规定的时间和形式通知招标人，确认已收到该澄清。</w:t>
      </w:r>
    </w:p>
    <w:p w14:paraId="61917315">
      <w:pPr>
        <w:spacing w:line="360" w:lineRule="auto"/>
        <w:ind w:firstLine="420" w:firstLineChars="200"/>
        <w:rPr>
          <w:rFonts w:ascii="宋体" w:hAnsi="宋体" w:eastAsia="宋体"/>
          <w:color w:val="auto"/>
          <w:highlight w:val="none"/>
        </w:rPr>
      </w:pPr>
      <w:r>
        <w:rPr>
          <w:rFonts w:ascii="宋体" w:hAnsi="宋体" w:eastAsia="宋体"/>
          <w:color w:val="auto"/>
          <w:highlight w:val="none"/>
        </w:rPr>
        <w:t>2.2.4除非招标人认为确有必要答复，否则，招标人有权拒绝回复投标人在本章第2.2.1项规定的时间后的任何澄清要求。</w:t>
      </w:r>
    </w:p>
    <w:p w14:paraId="4F8EE6A4">
      <w:pPr>
        <w:pStyle w:val="4"/>
        <w:spacing w:after="283" w:line="416" w:lineRule="auto"/>
        <w:ind w:left="132" w:firstLine="0" w:firstLineChars="0"/>
        <w:rPr>
          <w:rFonts w:ascii="宋体" w:hAnsi="宋体" w:eastAsia="宋体"/>
          <w:color w:val="auto"/>
          <w:highlight w:val="none"/>
        </w:rPr>
      </w:pPr>
      <w:bookmarkStart w:id="101" w:name="_Toc36466578"/>
      <w:bookmarkStart w:id="102" w:name="_Toc15273"/>
      <w:bookmarkStart w:id="103" w:name="_Toc133420483"/>
      <w:bookmarkStart w:id="104" w:name="_Toc51055727"/>
      <w:bookmarkStart w:id="105" w:name="_Toc138236337"/>
      <w:bookmarkStart w:id="106" w:name="_Toc45266409"/>
      <w:r>
        <w:rPr>
          <w:rFonts w:ascii="宋体" w:hAnsi="宋体" w:eastAsia="宋体"/>
          <w:color w:val="auto"/>
          <w:highlight w:val="none"/>
        </w:rPr>
        <w:t>2.3招标文件的修改</w:t>
      </w:r>
      <w:bookmarkEnd w:id="101"/>
      <w:bookmarkEnd w:id="102"/>
      <w:bookmarkEnd w:id="103"/>
      <w:bookmarkEnd w:id="104"/>
      <w:bookmarkEnd w:id="105"/>
      <w:bookmarkEnd w:id="106"/>
    </w:p>
    <w:p w14:paraId="36DAB069">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2.3.1招标人以投标人须知前附表规定的形式修改招标文件，并通知所有已购买招标文件的投标人。修改招标文件的时间距本章第 4.2.1 </w:t>
      </w:r>
      <w:r>
        <w:rPr>
          <w:rFonts w:hint="eastAsia" w:ascii="宋体" w:hAnsi="宋体" w:eastAsia="宋体"/>
          <w:color w:val="auto"/>
          <w:highlight w:val="none"/>
        </w:rPr>
        <w:t>项规定的投标截止时间不足</w:t>
      </w:r>
      <w:r>
        <w:rPr>
          <w:rFonts w:ascii="宋体" w:hAnsi="宋体" w:eastAsia="宋体"/>
          <w:color w:val="auto"/>
          <w:highlight w:val="none"/>
        </w:rPr>
        <w:t xml:space="preserve"> 15 </w:t>
      </w:r>
      <w:r>
        <w:rPr>
          <w:rFonts w:hint="eastAsia" w:ascii="宋体" w:hAnsi="宋体" w:eastAsia="宋体"/>
          <w:color w:val="auto"/>
          <w:highlight w:val="none"/>
        </w:rPr>
        <w:t>日的，并且修改内容可能影响投标文件编制的，将相应延长投标截止时间。</w:t>
      </w:r>
    </w:p>
    <w:p w14:paraId="4881A97E">
      <w:pPr>
        <w:spacing w:line="360" w:lineRule="auto"/>
        <w:ind w:firstLine="420" w:firstLineChars="200"/>
        <w:rPr>
          <w:rFonts w:ascii="宋体" w:hAnsi="宋体" w:eastAsia="宋体"/>
          <w:color w:val="auto"/>
          <w:highlight w:val="none"/>
        </w:rPr>
      </w:pPr>
      <w:r>
        <w:rPr>
          <w:rFonts w:ascii="宋体" w:hAnsi="宋体" w:eastAsia="宋体"/>
          <w:color w:val="auto"/>
          <w:highlight w:val="none"/>
        </w:rPr>
        <w:t>2.3.2投标人收到修改内容后，应按投标人须知前附表规定的时间和形式通知招标人，</w:t>
      </w:r>
      <w:r>
        <w:rPr>
          <w:rFonts w:hint="eastAsia" w:ascii="宋体" w:hAnsi="宋体" w:eastAsia="宋体"/>
          <w:color w:val="auto"/>
          <w:highlight w:val="none"/>
        </w:rPr>
        <w:t>确认已收到该修改。</w:t>
      </w:r>
    </w:p>
    <w:p w14:paraId="25C97DA0">
      <w:pPr>
        <w:pStyle w:val="4"/>
        <w:spacing w:after="283" w:line="416" w:lineRule="auto"/>
        <w:ind w:left="132" w:firstLine="0" w:firstLineChars="0"/>
        <w:rPr>
          <w:rFonts w:ascii="宋体" w:hAnsi="宋体" w:eastAsia="宋体"/>
          <w:color w:val="auto"/>
          <w:highlight w:val="none"/>
        </w:rPr>
      </w:pPr>
      <w:bookmarkStart w:id="107" w:name="_Toc1741"/>
      <w:bookmarkStart w:id="108" w:name="_Toc133420484"/>
      <w:bookmarkStart w:id="109" w:name="_Toc45266410"/>
      <w:bookmarkStart w:id="110" w:name="_Toc138236338"/>
      <w:bookmarkStart w:id="111" w:name="_Toc36466579"/>
      <w:bookmarkStart w:id="112" w:name="_Toc51055728"/>
      <w:r>
        <w:rPr>
          <w:rFonts w:ascii="宋体" w:hAnsi="宋体" w:eastAsia="宋体"/>
          <w:color w:val="auto"/>
          <w:highlight w:val="none"/>
        </w:rPr>
        <w:t>2.4招标文件的异议</w:t>
      </w:r>
      <w:bookmarkEnd w:id="107"/>
      <w:bookmarkEnd w:id="108"/>
      <w:bookmarkEnd w:id="109"/>
      <w:bookmarkEnd w:id="110"/>
      <w:bookmarkEnd w:id="111"/>
      <w:bookmarkEnd w:id="112"/>
    </w:p>
    <w:p w14:paraId="2915C650">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投标人或者其他利害关系人对招标文件有异议的，应当在投标截止时间</w:t>
      </w:r>
      <w:r>
        <w:rPr>
          <w:rFonts w:ascii="宋体" w:hAnsi="宋体" w:eastAsia="宋体"/>
          <w:color w:val="auto"/>
          <w:highlight w:val="none"/>
        </w:rPr>
        <w:t>10日前以书面形式提出。招标人将在收到异议之日起3日内</w:t>
      </w:r>
      <w:r>
        <w:rPr>
          <w:rFonts w:hint="eastAsia" w:ascii="宋体" w:hAnsi="宋体" w:eastAsia="宋体"/>
          <w:color w:val="auto"/>
          <w:highlight w:val="none"/>
        </w:rPr>
        <w:t>作出答复；作出答复前，将暂停招标投标活动。</w:t>
      </w:r>
    </w:p>
    <w:p w14:paraId="14271B6C">
      <w:pPr>
        <w:pStyle w:val="3"/>
        <w:rPr>
          <w:color w:val="auto"/>
          <w:highlight w:val="none"/>
        </w:rPr>
      </w:pPr>
      <w:bookmarkStart w:id="113" w:name="_Toc138236339"/>
      <w:bookmarkStart w:id="114" w:name="_Toc31306"/>
      <w:r>
        <w:rPr>
          <w:color w:val="auto"/>
          <w:highlight w:val="none"/>
        </w:rPr>
        <w:t xml:space="preserve">3. </w:t>
      </w:r>
      <w:r>
        <w:rPr>
          <w:rFonts w:hint="eastAsia"/>
          <w:color w:val="auto"/>
          <w:highlight w:val="none"/>
        </w:rPr>
        <w:t>投标文件</w:t>
      </w:r>
      <w:bookmarkEnd w:id="113"/>
      <w:bookmarkEnd w:id="114"/>
    </w:p>
    <w:p w14:paraId="03F81FB4">
      <w:pPr>
        <w:pStyle w:val="4"/>
        <w:spacing w:after="283" w:line="416" w:lineRule="auto"/>
        <w:ind w:left="132" w:firstLine="0" w:firstLineChars="0"/>
        <w:rPr>
          <w:rFonts w:ascii="宋体" w:hAnsi="宋体" w:eastAsia="宋体"/>
          <w:color w:val="auto"/>
          <w:highlight w:val="none"/>
        </w:rPr>
      </w:pPr>
      <w:bookmarkStart w:id="115" w:name="_Toc51055730"/>
      <w:bookmarkStart w:id="116" w:name="_Toc45266412"/>
      <w:bookmarkStart w:id="117" w:name="_Toc36466581"/>
      <w:bookmarkStart w:id="118" w:name="_Toc133420486"/>
      <w:bookmarkStart w:id="119" w:name="_Toc5963"/>
      <w:bookmarkStart w:id="120" w:name="_Toc138236340"/>
      <w:r>
        <w:rPr>
          <w:rFonts w:ascii="宋体" w:hAnsi="宋体" w:eastAsia="宋体"/>
          <w:color w:val="auto"/>
          <w:highlight w:val="none"/>
        </w:rPr>
        <w:t>3.1投标文件的组成</w:t>
      </w:r>
      <w:bookmarkEnd w:id="115"/>
      <w:bookmarkEnd w:id="116"/>
      <w:bookmarkEnd w:id="117"/>
      <w:bookmarkEnd w:id="118"/>
      <w:bookmarkEnd w:id="119"/>
      <w:bookmarkEnd w:id="120"/>
    </w:p>
    <w:p w14:paraId="04D78286">
      <w:pPr>
        <w:spacing w:line="360" w:lineRule="auto"/>
        <w:ind w:firstLine="420" w:firstLineChars="200"/>
        <w:rPr>
          <w:rFonts w:ascii="宋体" w:hAnsi="宋体" w:eastAsia="宋体"/>
          <w:color w:val="auto"/>
          <w:highlight w:val="none"/>
        </w:rPr>
      </w:pPr>
      <w:r>
        <w:rPr>
          <w:rFonts w:ascii="宋体" w:hAnsi="宋体" w:eastAsia="宋体"/>
          <w:color w:val="auto"/>
          <w:highlight w:val="none"/>
        </w:rPr>
        <w:t>3.1.1投标文件应包括下列内容：</w:t>
      </w:r>
    </w:p>
    <w:p w14:paraId="76B5CEE3">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一、投标函及附录；</w:t>
      </w:r>
    </w:p>
    <w:p w14:paraId="3F2A2E3A">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rPr>
        <w:t>二、法定代表人证明书及授权委托证明书；</w:t>
      </w:r>
    </w:p>
    <w:p w14:paraId="7FCC5FE5">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lang w:val="en-US" w:eastAsia="zh-CN"/>
        </w:rPr>
        <w:t>三</w:t>
      </w:r>
      <w:r>
        <w:rPr>
          <w:rFonts w:hint="eastAsia" w:ascii="宋体" w:hAnsi="宋体" w:eastAsia="宋体"/>
          <w:color w:val="auto"/>
          <w:highlight w:val="none"/>
          <w:u w:val="single"/>
        </w:rPr>
        <w:t>、投标报价表；</w:t>
      </w:r>
    </w:p>
    <w:p w14:paraId="18E62274">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lang w:val="en-US" w:eastAsia="zh-CN"/>
        </w:rPr>
        <w:t>四</w:t>
      </w:r>
      <w:r>
        <w:rPr>
          <w:rFonts w:hint="eastAsia" w:ascii="宋体" w:hAnsi="宋体" w:eastAsia="宋体"/>
          <w:color w:val="auto"/>
          <w:highlight w:val="none"/>
          <w:u w:val="single"/>
        </w:rPr>
        <w:t>、资格审查资料；</w:t>
      </w:r>
    </w:p>
    <w:p w14:paraId="76A24237">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lang w:val="en-US" w:eastAsia="zh-CN"/>
        </w:rPr>
        <w:t>五</w:t>
      </w:r>
      <w:r>
        <w:rPr>
          <w:rFonts w:hint="eastAsia" w:ascii="宋体" w:hAnsi="宋体" w:eastAsia="宋体"/>
          <w:color w:val="auto"/>
          <w:highlight w:val="none"/>
          <w:u w:val="single"/>
        </w:rPr>
        <w:t>、投标人声明；</w:t>
      </w:r>
    </w:p>
    <w:p w14:paraId="0014B903">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lang w:val="en-US" w:eastAsia="zh-CN"/>
        </w:rPr>
        <w:t>六</w:t>
      </w:r>
      <w:r>
        <w:rPr>
          <w:rFonts w:hint="eastAsia" w:ascii="宋体" w:hAnsi="宋体" w:eastAsia="宋体"/>
          <w:color w:val="auto"/>
          <w:highlight w:val="none"/>
          <w:u w:val="single"/>
        </w:rPr>
        <w:t>、商务部分证明材料；</w:t>
      </w:r>
    </w:p>
    <w:p w14:paraId="1B9A29E6">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lang w:val="en-US" w:eastAsia="zh-CN"/>
        </w:rPr>
        <w:t>七</w:t>
      </w:r>
      <w:r>
        <w:rPr>
          <w:rFonts w:hint="eastAsia" w:ascii="宋体" w:hAnsi="宋体" w:eastAsia="宋体"/>
          <w:color w:val="auto"/>
          <w:highlight w:val="none"/>
          <w:u w:val="single"/>
        </w:rPr>
        <w:t>、技术服务方案；</w:t>
      </w:r>
    </w:p>
    <w:p w14:paraId="50C42F3E">
      <w:pPr>
        <w:spacing w:line="360" w:lineRule="auto"/>
        <w:ind w:firstLine="420" w:firstLineChars="200"/>
        <w:rPr>
          <w:rFonts w:ascii="宋体" w:hAnsi="宋体" w:eastAsia="宋体"/>
          <w:color w:val="auto"/>
          <w:highlight w:val="none"/>
          <w:u w:val="single"/>
        </w:rPr>
      </w:pPr>
      <w:r>
        <w:rPr>
          <w:rFonts w:hint="eastAsia" w:ascii="宋体" w:hAnsi="宋体" w:eastAsia="宋体"/>
          <w:color w:val="auto"/>
          <w:highlight w:val="none"/>
          <w:u w:val="single"/>
          <w:lang w:val="en-US" w:eastAsia="zh-CN"/>
        </w:rPr>
        <w:t>八</w:t>
      </w:r>
      <w:r>
        <w:rPr>
          <w:rFonts w:hint="eastAsia" w:ascii="宋体" w:hAnsi="宋体" w:eastAsia="宋体"/>
          <w:color w:val="auto"/>
          <w:highlight w:val="none"/>
          <w:u w:val="single"/>
        </w:rPr>
        <w:t>、其他资料；</w:t>
      </w:r>
    </w:p>
    <w:p w14:paraId="74DC9D53">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投标人在评标过程中作出的符合法律法规和招标文件规定的澄清确认，构成投标文件的组成部分。</w:t>
      </w:r>
    </w:p>
    <w:p w14:paraId="3E485317">
      <w:pPr>
        <w:spacing w:line="360" w:lineRule="auto"/>
        <w:ind w:firstLine="420" w:firstLineChars="200"/>
        <w:rPr>
          <w:rFonts w:ascii="宋体" w:hAnsi="宋体" w:eastAsia="宋体"/>
          <w:color w:val="auto"/>
          <w:highlight w:val="none"/>
        </w:rPr>
      </w:pPr>
      <w:r>
        <w:rPr>
          <w:rFonts w:ascii="宋体" w:hAnsi="宋体" w:eastAsia="宋体"/>
          <w:color w:val="auto"/>
          <w:highlight w:val="none"/>
        </w:rPr>
        <w:t>3.1.2投标人须知前附表规定不接受联合体投标的，或投标人没有组成联合体的，投标文件不包括本章所指的联合体协议书。</w:t>
      </w:r>
    </w:p>
    <w:p w14:paraId="04748C32">
      <w:pPr>
        <w:spacing w:line="360" w:lineRule="auto"/>
        <w:ind w:firstLine="420" w:firstLineChars="200"/>
        <w:rPr>
          <w:rFonts w:ascii="宋体" w:hAnsi="宋体" w:eastAsia="宋体"/>
          <w:color w:val="auto"/>
          <w:highlight w:val="none"/>
        </w:rPr>
      </w:pPr>
      <w:r>
        <w:rPr>
          <w:rFonts w:ascii="宋体" w:hAnsi="宋体" w:eastAsia="宋体"/>
          <w:color w:val="auto"/>
          <w:highlight w:val="none"/>
        </w:rPr>
        <w:t>3.1.3投标人须知前附表未要求提交投标保证金的，投标文件不包括本章所指的投标保证金。</w:t>
      </w:r>
    </w:p>
    <w:p w14:paraId="0C57367F">
      <w:pPr>
        <w:pStyle w:val="4"/>
        <w:spacing w:after="283" w:line="416" w:lineRule="auto"/>
        <w:ind w:left="132" w:firstLine="0" w:firstLineChars="0"/>
        <w:rPr>
          <w:rFonts w:ascii="宋体" w:hAnsi="宋体" w:eastAsia="宋体"/>
          <w:color w:val="auto"/>
          <w:highlight w:val="none"/>
        </w:rPr>
      </w:pPr>
      <w:bookmarkStart w:id="121" w:name="_Toc36466582"/>
      <w:bookmarkStart w:id="122" w:name="_Toc14156"/>
      <w:bookmarkStart w:id="123" w:name="_Toc51055731"/>
      <w:bookmarkStart w:id="124" w:name="_Toc138236341"/>
      <w:bookmarkStart w:id="125" w:name="_Toc133420487"/>
      <w:bookmarkStart w:id="126" w:name="_Toc45266413"/>
      <w:r>
        <w:rPr>
          <w:rFonts w:ascii="宋体" w:hAnsi="宋体" w:eastAsia="宋体"/>
          <w:color w:val="auto"/>
          <w:highlight w:val="none"/>
        </w:rPr>
        <w:t>3.2投标报价</w:t>
      </w:r>
      <w:bookmarkEnd w:id="121"/>
      <w:bookmarkEnd w:id="122"/>
      <w:bookmarkEnd w:id="123"/>
      <w:bookmarkEnd w:id="124"/>
      <w:bookmarkEnd w:id="125"/>
      <w:bookmarkEnd w:id="126"/>
    </w:p>
    <w:p w14:paraId="46C34593">
      <w:pPr>
        <w:spacing w:line="360" w:lineRule="auto"/>
        <w:ind w:firstLine="420" w:firstLineChars="200"/>
        <w:rPr>
          <w:rFonts w:ascii="宋体" w:hAnsi="宋体" w:eastAsia="宋体"/>
          <w:color w:val="auto"/>
          <w:highlight w:val="none"/>
        </w:rPr>
      </w:pPr>
      <w:r>
        <w:rPr>
          <w:rFonts w:ascii="宋体" w:hAnsi="宋体" w:eastAsia="宋体"/>
          <w:color w:val="auto"/>
          <w:highlight w:val="none"/>
        </w:rPr>
        <w:t>3.2.1投标报价应包括国家规定的增值税税金，除投标人须知前附表另有规定外，增值税税金按一般计税方法计算。投标人应按第六章“投标文件格式”的要求在投标函中进行报价并填写投标报价表。</w:t>
      </w:r>
    </w:p>
    <w:p w14:paraId="7144A759">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3.2.2 </w:t>
      </w:r>
      <w:r>
        <w:rPr>
          <w:rFonts w:hint="eastAsia" w:ascii="宋体" w:hAnsi="宋体" w:eastAsia="宋体"/>
          <w:color w:val="auto"/>
          <w:highlight w:val="none"/>
        </w:rPr>
        <w:t>投标人应充分了解该项目的总体情况以及影响投标报价的其他要素。</w:t>
      </w:r>
    </w:p>
    <w:p w14:paraId="490D403F">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3.2.3 </w:t>
      </w:r>
      <w:r>
        <w:rPr>
          <w:rFonts w:hint="eastAsia" w:ascii="宋体" w:hAnsi="宋体" w:eastAsia="宋体"/>
          <w:color w:val="auto"/>
          <w:highlight w:val="none"/>
        </w:rPr>
        <w:t>本项目的报价方式见投标人须知前附表。投标人在投标截止时间前修改投标函中的投标报价总额，应同时修改投标文件“投标函附录”及“报价书”的相应报价。此修改须符合本章第</w:t>
      </w:r>
      <w:r>
        <w:rPr>
          <w:rFonts w:ascii="宋体" w:hAnsi="宋体" w:eastAsia="宋体"/>
          <w:color w:val="auto"/>
          <w:highlight w:val="none"/>
        </w:rPr>
        <w:t>4.3款的有关要求。</w:t>
      </w:r>
    </w:p>
    <w:p w14:paraId="4FE55770">
      <w:pPr>
        <w:spacing w:line="360" w:lineRule="auto"/>
        <w:ind w:firstLine="420" w:firstLineChars="200"/>
        <w:rPr>
          <w:rFonts w:ascii="宋体" w:hAnsi="宋体" w:eastAsia="宋体"/>
          <w:color w:val="auto"/>
          <w:highlight w:val="none"/>
        </w:rPr>
      </w:pPr>
      <w:r>
        <w:rPr>
          <w:rFonts w:ascii="宋体" w:hAnsi="宋体" w:eastAsia="宋体"/>
          <w:color w:val="auto"/>
          <w:highlight w:val="none"/>
        </w:rPr>
        <w:t>3.2.4招标人设有最高投标限价的，投标人的投标报价不得超过最高投标限价，最高投标限 价在投标人须知前附表中载明。</w:t>
      </w:r>
    </w:p>
    <w:p w14:paraId="7E48C8BC">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3.2.5 </w:t>
      </w:r>
      <w:r>
        <w:rPr>
          <w:rFonts w:hint="eastAsia" w:ascii="宋体" w:hAnsi="宋体" w:eastAsia="宋体"/>
          <w:color w:val="auto"/>
          <w:highlight w:val="none"/>
        </w:rPr>
        <w:t>投标报价的其他要求见投标人须知前附表。</w:t>
      </w:r>
    </w:p>
    <w:p w14:paraId="2D4431C3">
      <w:pPr>
        <w:pStyle w:val="4"/>
        <w:spacing w:after="283" w:line="416" w:lineRule="auto"/>
        <w:ind w:left="132" w:firstLine="0" w:firstLineChars="0"/>
        <w:rPr>
          <w:rFonts w:ascii="宋体" w:hAnsi="宋体" w:eastAsia="宋体"/>
          <w:color w:val="auto"/>
          <w:highlight w:val="none"/>
        </w:rPr>
      </w:pPr>
      <w:bookmarkStart w:id="127" w:name="_Toc133420488"/>
      <w:bookmarkStart w:id="128" w:name="_Toc51055732"/>
      <w:bookmarkStart w:id="129" w:name="_Toc138236342"/>
      <w:bookmarkStart w:id="130" w:name="_Toc45266414"/>
      <w:bookmarkStart w:id="131" w:name="_Toc36466583"/>
      <w:bookmarkStart w:id="132" w:name="_Toc6632"/>
      <w:r>
        <w:rPr>
          <w:rFonts w:ascii="宋体" w:hAnsi="宋体" w:eastAsia="宋体"/>
          <w:color w:val="auto"/>
          <w:highlight w:val="none"/>
        </w:rPr>
        <w:t>3.3投标有效期</w:t>
      </w:r>
      <w:bookmarkEnd w:id="127"/>
      <w:bookmarkEnd w:id="128"/>
      <w:bookmarkEnd w:id="129"/>
      <w:bookmarkEnd w:id="130"/>
      <w:bookmarkEnd w:id="131"/>
      <w:bookmarkEnd w:id="132"/>
    </w:p>
    <w:p w14:paraId="3781FA1F">
      <w:pPr>
        <w:spacing w:line="360" w:lineRule="auto"/>
        <w:ind w:firstLine="420" w:firstLineChars="200"/>
        <w:rPr>
          <w:rFonts w:ascii="宋体" w:hAnsi="宋体" w:eastAsia="宋体"/>
          <w:color w:val="auto"/>
          <w:highlight w:val="none"/>
        </w:rPr>
      </w:pPr>
      <w:r>
        <w:rPr>
          <w:rFonts w:ascii="宋体" w:hAnsi="宋体" w:eastAsia="宋体"/>
          <w:color w:val="auto"/>
          <w:highlight w:val="none"/>
        </w:rPr>
        <w:t>3.3.1见投标人须知前附表。</w:t>
      </w:r>
    </w:p>
    <w:p w14:paraId="483A2715">
      <w:pPr>
        <w:spacing w:line="360" w:lineRule="auto"/>
        <w:ind w:firstLine="420" w:firstLineChars="200"/>
        <w:rPr>
          <w:rFonts w:ascii="宋体" w:hAnsi="宋体" w:eastAsia="宋体"/>
          <w:color w:val="auto"/>
          <w:highlight w:val="none"/>
        </w:rPr>
      </w:pPr>
      <w:r>
        <w:rPr>
          <w:rFonts w:ascii="宋体" w:hAnsi="宋体" w:eastAsia="宋体"/>
          <w:color w:val="auto"/>
          <w:highlight w:val="none"/>
        </w:rPr>
        <w:t>3.3.2在投标有效期内，投标人撤销投标文件的，应承担招标文件和法律规定的责任。</w:t>
      </w:r>
    </w:p>
    <w:p w14:paraId="067E8573">
      <w:pPr>
        <w:spacing w:line="360" w:lineRule="auto"/>
        <w:ind w:firstLine="420" w:firstLineChars="200"/>
        <w:rPr>
          <w:rFonts w:ascii="宋体" w:hAnsi="宋体" w:eastAsia="宋体"/>
          <w:color w:val="auto"/>
          <w:highlight w:val="none"/>
        </w:rPr>
      </w:pPr>
      <w:r>
        <w:rPr>
          <w:rFonts w:ascii="宋体" w:hAnsi="宋体" w:eastAsia="宋体"/>
          <w:color w:val="auto"/>
          <w:highlight w:val="none"/>
        </w:rPr>
        <w:t>3.3.3出现特殊情况需要延长投标有效期的，招标人以书面形式通知所有投标人延长投标有效期。投标人应予以书面答复，同意延长的，但不得要求</w:t>
      </w:r>
      <w:r>
        <w:rPr>
          <w:rFonts w:hint="eastAsia" w:ascii="宋体" w:hAnsi="宋体" w:eastAsia="宋体"/>
          <w:color w:val="auto"/>
          <w:highlight w:val="none"/>
        </w:rPr>
        <w:t>或被允许修改其投标文件；投标人拒绝延长的，其投标失效。</w:t>
      </w:r>
    </w:p>
    <w:p w14:paraId="5E2ADEC6">
      <w:pPr>
        <w:pStyle w:val="4"/>
        <w:spacing w:after="283" w:line="416" w:lineRule="auto"/>
        <w:ind w:left="132" w:firstLine="0" w:firstLineChars="0"/>
        <w:rPr>
          <w:rFonts w:ascii="宋体" w:hAnsi="宋体" w:eastAsia="宋体"/>
          <w:color w:val="auto"/>
          <w:highlight w:val="none"/>
        </w:rPr>
      </w:pPr>
      <w:bookmarkStart w:id="133" w:name="_Toc138236343"/>
      <w:bookmarkStart w:id="134" w:name="_Toc36466584"/>
      <w:bookmarkStart w:id="135" w:name="_Toc133420489"/>
      <w:bookmarkStart w:id="136" w:name="_Toc29485"/>
      <w:bookmarkStart w:id="137" w:name="_Toc45266415"/>
      <w:bookmarkStart w:id="138" w:name="_Toc51055733"/>
      <w:r>
        <w:rPr>
          <w:rFonts w:ascii="宋体" w:hAnsi="宋体" w:eastAsia="宋体"/>
          <w:color w:val="auto"/>
          <w:highlight w:val="none"/>
        </w:rPr>
        <w:t>3.4投标保证金</w:t>
      </w:r>
      <w:bookmarkEnd w:id="133"/>
      <w:bookmarkEnd w:id="134"/>
      <w:bookmarkEnd w:id="135"/>
      <w:bookmarkEnd w:id="136"/>
      <w:bookmarkEnd w:id="137"/>
      <w:bookmarkEnd w:id="138"/>
    </w:p>
    <w:p w14:paraId="75369BF3">
      <w:pPr>
        <w:spacing w:line="360" w:lineRule="auto"/>
        <w:ind w:firstLine="420" w:firstLineChars="200"/>
        <w:rPr>
          <w:rFonts w:ascii="宋体" w:hAnsi="宋体" w:eastAsia="宋体"/>
          <w:color w:val="auto"/>
          <w:highlight w:val="none"/>
        </w:rPr>
      </w:pPr>
      <w:r>
        <w:rPr>
          <w:rFonts w:ascii="宋体" w:hAnsi="宋体" w:eastAsia="宋体"/>
          <w:color w:val="auto"/>
          <w:highlight w:val="none"/>
        </w:rPr>
        <w:t>3.4.1投标人在递交投标文件的同时，应按投标人须知前附表规定的金额、形式和第六章“投标文件格式”规定的投标保证金格式递交投标保证金，并作为其投标文件的组成部分。境内投标人以现金或者支票形式提交的投标保证金，应当从其基本账户转出并在投标文件中附上基本账户开户证明。联合体投标的，其投标保证金可以由牵头人递交，并应符合投标人须知前附表的规定。</w:t>
      </w:r>
    </w:p>
    <w:p w14:paraId="29E0256A">
      <w:pPr>
        <w:spacing w:line="360" w:lineRule="auto"/>
        <w:ind w:firstLine="420" w:firstLineChars="200"/>
        <w:rPr>
          <w:rFonts w:ascii="宋体" w:hAnsi="宋体" w:eastAsia="宋体"/>
          <w:strike/>
          <w:color w:val="auto"/>
          <w:highlight w:val="none"/>
        </w:rPr>
      </w:pPr>
      <w:r>
        <w:rPr>
          <w:rFonts w:ascii="宋体" w:hAnsi="宋体" w:eastAsia="宋体"/>
          <w:strike/>
          <w:color w:val="auto"/>
          <w:highlight w:val="none"/>
        </w:rPr>
        <w:t xml:space="preserve">3.4.2投标人不按本章第 3.4.1 </w:t>
      </w:r>
      <w:r>
        <w:rPr>
          <w:rFonts w:hint="eastAsia" w:ascii="宋体" w:hAnsi="宋体" w:eastAsia="宋体"/>
          <w:strike/>
          <w:color w:val="auto"/>
          <w:highlight w:val="none"/>
        </w:rPr>
        <w:t>项要求提交投标保证金的，评标委员会将否决其投标。</w:t>
      </w:r>
    </w:p>
    <w:p w14:paraId="6F75171F">
      <w:pPr>
        <w:spacing w:line="360" w:lineRule="auto"/>
        <w:ind w:firstLine="420" w:firstLineChars="200"/>
        <w:rPr>
          <w:rFonts w:ascii="宋体" w:hAnsi="宋体" w:eastAsia="宋体"/>
          <w:strike/>
          <w:color w:val="auto"/>
          <w:highlight w:val="none"/>
        </w:rPr>
      </w:pPr>
      <w:r>
        <w:rPr>
          <w:rFonts w:ascii="宋体" w:hAnsi="宋体" w:eastAsia="宋体"/>
          <w:strike/>
          <w:color w:val="auto"/>
          <w:highlight w:val="none"/>
        </w:rPr>
        <w:t>3.4.3招标人最迟将在与中标人签订合同后5日内，向未中标的投标人和中标人退还投标保证金。投标保证金以现金或者支票形式递交的，还应退还银行同期存款利息。</w:t>
      </w:r>
    </w:p>
    <w:p w14:paraId="2A748A62">
      <w:pPr>
        <w:spacing w:line="360" w:lineRule="auto"/>
        <w:ind w:firstLine="420" w:firstLineChars="200"/>
        <w:rPr>
          <w:rFonts w:ascii="宋体" w:hAnsi="宋体" w:eastAsia="宋体"/>
          <w:strike/>
          <w:color w:val="auto"/>
          <w:highlight w:val="none"/>
        </w:rPr>
      </w:pPr>
      <w:r>
        <w:rPr>
          <w:rFonts w:ascii="宋体" w:hAnsi="宋体" w:eastAsia="宋体"/>
          <w:strike/>
          <w:color w:val="auto"/>
          <w:highlight w:val="none"/>
        </w:rPr>
        <w:t>3.4.4有下列情形之一的，投标保证金将不予退还：</w:t>
      </w:r>
    </w:p>
    <w:p w14:paraId="2B36B2E9">
      <w:pPr>
        <w:spacing w:line="360" w:lineRule="auto"/>
        <w:ind w:firstLine="420" w:firstLineChars="200"/>
        <w:rPr>
          <w:rFonts w:ascii="宋体" w:hAnsi="宋体" w:eastAsia="宋体"/>
          <w:strike/>
          <w:color w:val="auto"/>
          <w:highlight w:val="none"/>
        </w:rPr>
      </w:pPr>
      <w:r>
        <w:rPr>
          <w:rFonts w:hint="eastAsia" w:ascii="宋体" w:hAnsi="宋体" w:eastAsia="宋体"/>
          <w:strike/>
          <w:color w:val="auto"/>
          <w:highlight w:val="none"/>
        </w:rPr>
        <w:t>（</w:t>
      </w:r>
      <w:r>
        <w:rPr>
          <w:rFonts w:ascii="宋体" w:hAnsi="宋体" w:eastAsia="宋体"/>
          <w:strike/>
          <w:color w:val="auto"/>
          <w:highlight w:val="none"/>
        </w:rPr>
        <w:t>1）投标人在投标有效期内撤销投标文件；</w:t>
      </w:r>
    </w:p>
    <w:p w14:paraId="7286EB79">
      <w:pPr>
        <w:spacing w:line="360" w:lineRule="auto"/>
        <w:ind w:firstLine="420" w:firstLineChars="200"/>
        <w:rPr>
          <w:rFonts w:ascii="宋体" w:hAnsi="宋体" w:eastAsia="宋体"/>
          <w:strike/>
          <w:color w:val="auto"/>
          <w:highlight w:val="none"/>
        </w:rPr>
      </w:pPr>
      <w:r>
        <w:rPr>
          <w:rFonts w:hint="eastAsia" w:ascii="宋体" w:hAnsi="宋体" w:eastAsia="宋体"/>
          <w:strike/>
          <w:color w:val="auto"/>
          <w:highlight w:val="none"/>
        </w:rPr>
        <w:t>（</w:t>
      </w:r>
      <w:r>
        <w:rPr>
          <w:rFonts w:ascii="宋体" w:hAnsi="宋体" w:eastAsia="宋体"/>
          <w:strike/>
          <w:color w:val="auto"/>
          <w:highlight w:val="none"/>
        </w:rPr>
        <w:t>2）中标人在收到中标通知书后，无正当理由不与招标人订立合同，在签订合同时向招标人提出附加条件；</w:t>
      </w:r>
    </w:p>
    <w:p w14:paraId="1365970F">
      <w:pPr>
        <w:spacing w:line="360" w:lineRule="auto"/>
        <w:ind w:firstLine="420" w:firstLineChars="200"/>
        <w:rPr>
          <w:rFonts w:ascii="宋体" w:hAnsi="宋体" w:eastAsia="宋体"/>
          <w:strike/>
          <w:color w:val="auto"/>
          <w:highlight w:val="none"/>
          <w:u w:val="single"/>
        </w:rPr>
      </w:pPr>
      <w:r>
        <w:rPr>
          <w:rFonts w:hint="eastAsia" w:ascii="宋体" w:hAnsi="宋体" w:eastAsia="宋体"/>
          <w:strike/>
          <w:color w:val="auto"/>
          <w:highlight w:val="none"/>
          <w:u w:val="single"/>
        </w:rPr>
        <w:t>（</w:t>
      </w:r>
      <w:r>
        <w:rPr>
          <w:rFonts w:ascii="宋体" w:hAnsi="宋体" w:eastAsia="宋体"/>
          <w:strike/>
          <w:color w:val="auto"/>
          <w:highlight w:val="none"/>
          <w:u w:val="single"/>
        </w:rPr>
        <w:t>3）存在串通投标、围</w:t>
      </w:r>
      <w:r>
        <w:rPr>
          <w:rFonts w:hint="eastAsia" w:ascii="宋体" w:hAnsi="宋体" w:eastAsia="宋体"/>
          <w:strike/>
          <w:color w:val="auto"/>
          <w:highlight w:val="none"/>
          <w:u w:val="single"/>
        </w:rPr>
        <w:t>标情况的；</w:t>
      </w:r>
    </w:p>
    <w:p w14:paraId="152B35C2">
      <w:pPr>
        <w:spacing w:line="360" w:lineRule="auto"/>
        <w:ind w:firstLine="420" w:firstLineChars="200"/>
        <w:rPr>
          <w:rFonts w:ascii="宋体" w:hAnsi="宋体" w:eastAsia="宋体"/>
          <w:strike/>
          <w:color w:val="auto"/>
          <w:highlight w:val="none"/>
          <w:u w:val="single"/>
        </w:rPr>
      </w:pPr>
      <w:r>
        <w:rPr>
          <w:rFonts w:hint="eastAsia" w:ascii="宋体" w:hAnsi="宋体" w:eastAsia="宋体"/>
          <w:strike/>
          <w:color w:val="auto"/>
          <w:highlight w:val="none"/>
          <w:u w:val="single"/>
        </w:rPr>
        <w:t>（</w:t>
      </w:r>
      <w:r>
        <w:rPr>
          <w:rFonts w:ascii="宋体" w:hAnsi="宋体" w:eastAsia="宋体"/>
          <w:strike/>
          <w:color w:val="auto"/>
          <w:highlight w:val="none"/>
          <w:u w:val="single"/>
        </w:rPr>
        <w:t>4）投标人以他人名义投标或者允许他人挂靠投标或借用本公司名义投标的；</w:t>
      </w:r>
    </w:p>
    <w:p w14:paraId="6EE320D3">
      <w:pPr>
        <w:spacing w:line="360" w:lineRule="auto"/>
        <w:ind w:firstLine="420" w:firstLineChars="200"/>
        <w:rPr>
          <w:rFonts w:ascii="宋体" w:hAnsi="宋体" w:eastAsia="宋体"/>
          <w:strike/>
          <w:color w:val="auto"/>
          <w:highlight w:val="none"/>
          <w:u w:val="single"/>
        </w:rPr>
      </w:pPr>
      <w:r>
        <w:rPr>
          <w:rFonts w:hint="eastAsia" w:ascii="宋体" w:hAnsi="宋体" w:eastAsia="宋体"/>
          <w:strike/>
          <w:color w:val="auto"/>
          <w:highlight w:val="none"/>
          <w:u w:val="single"/>
        </w:rPr>
        <w:t>（</w:t>
      </w:r>
      <w:r>
        <w:rPr>
          <w:rFonts w:ascii="宋体" w:hAnsi="宋体" w:eastAsia="宋体"/>
          <w:strike/>
          <w:color w:val="auto"/>
          <w:highlight w:val="none"/>
          <w:u w:val="single"/>
        </w:rPr>
        <w:t>5）提供虚假投标文件、虚假承诺/声明/保证或者以其他方式弄虚作假的；</w:t>
      </w:r>
    </w:p>
    <w:p w14:paraId="3816A182">
      <w:pPr>
        <w:spacing w:line="360" w:lineRule="auto"/>
        <w:ind w:firstLine="420" w:firstLineChars="200"/>
        <w:rPr>
          <w:rFonts w:ascii="宋体" w:hAnsi="宋体" w:eastAsia="宋体"/>
          <w:strike/>
          <w:color w:val="auto"/>
          <w:highlight w:val="none"/>
        </w:rPr>
      </w:pPr>
      <w:r>
        <w:rPr>
          <w:rFonts w:hint="eastAsia" w:ascii="宋体" w:hAnsi="宋体" w:eastAsia="宋体"/>
          <w:strike/>
          <w:color w:val="auto"/>
          <w:highlight w:val="none"/>
          <w:u w:val="single"/>
        </w:rPr>
        <w:t>（</w:t>
      </w:r>
      <w:r>
        <w:rPr>
          <w:rFonts w:ascii="宋体" w:hAnsi="宋体" w:eastAsia="宋体"/>
          <w:strike/>
          <w:color w:val="auto"/>
          <w:highlight w:val="none"/>
          <w:u w:val="single"/>
        </w:rPr>
        <w:t>6）</w:t>
      </w:r>
      <w:r>
        <w:rPr>
          <w:rFonts w:hint="eastAsia" w:ascii="宋体" w:hAnsi="宋体" w:eastAsia="宋体"/>
          <w:strike/>
          <w:color w:val="auto"/>
          <w:highlight w:val="none"/>
        </w:rPr>
        <w:t>发生投标人须知前附表规定的其他可以不予退还投标保证金的情形。</w:t>
      </w:r>
    </w:p>
    <w:p w14:paraId="33DCABFE">
      <w:pPr>
        <w:pStyle w:val="4"/>
        <w:spacing w:after="283" w:line="416" w:lineRule="auto"/>
        <w:ind w:left="132" w:firstLine="0" w:firstLineChars="0"/>
        <w:rPr>
          <w:rFonts w:ascii="宋体" w:hAnsi="宋体" w:eastAsia="宋体"/>
          <w:color w:val="auto"/>
          <w:highlight w:val="none"/>
        </w:rPr>
      </w:pPr>
      <w:bookmarkStart w:id="139" w:name="_Toc36466586"/>
      <w:bookmarkStart w:id="140" w:name="_Toc138236345"/>
      <w:bookmarkStart w:id="141" w:name="_Toc133420491"/>
      <w:bookmarkStart w:id="142" w:name="_Toc18758"/>
      <w:bookmarkStart w:id="143" w:name="_Toc45266417"/>
      <w:bookmarkStart w:id="144" w:name="_Toc51055735"/>
      <w:r>
        <w:rPr>
          <w:rFonts w:ascii="宋体" w:hAnsi="宋体" w:eastAsia="宋体"/>
          <w:color w:val="auto"/>
          <w:highlight w:val="none"/>
        </w:rPr>
        <w:t>3.5资格审查资料（适用于未进行资格预审的）</w:t>
      </w:r>
      <w:bookmarkEnd w:id="139"/>
      <w:bookmarkEnd w:id="140"/>
      <w:bookmarkEnd w:id="141"/>
      <w:bookmarkEnd w:id="142"/>
      <w:bookmarkEnd w:id="143"/>
      <w:bookmarkEnd w:id="144"/>
    </w:p>
    <w:p w14:paraId="2FC5350D">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除投标人须知前附表另有规定外，投标人应按下列规定提供资格审查资料，以证明其满足本章第</w:t>
      </w:r>
      <w:r>
        <w:rPr>
          <w:rFonts w:ascii="宋体" w:hAnsi="宋体" w:eastAsia="宋体"/>
          <w:color w:val="auto"/>
          <w:highlight w:val="none"/>
        </w:rPr>
        <w:t>1.4款规定的资质、财务、业绩、信誉等要求。</w:t>
      </w:r>
    </w:p>
    <w:p w14:paraId="2C9FCF32">
      <w:pPr>
        <w:widowControl/>
        <w:adjustRightInd w:val="0"/>
        <w:snapToGrid w:val="0"/>
        <w:spacing w:line="360" w:lineRule="auto"/>
        <w:ind w:firstLine="422" w:firstLineChars="200"/>
        <w:jc w:val="left"/>
        <w:rPr>
          <w:rFonts w:ascii="宋体" w:hAnsi="宋体" w:eastAsia="宋体"/>
          <w:color w:val="auto"/>
          <w:highlight w:val="none"/>
        </w:rPr>
      </w:pPr>
      <w:r>
        <w:rPr>
          <w:rFonts w:hint="eastAsia" w:ascii="宋体" w:hAnsi="宋体" w:eastAsia="宋体"/>
          <w:b/>
          <w:color w:val="auto"/>
          <w:highlight w:val="none"/>
          <w:u w:val="single"/>
        </w:rPr>
        <w:t>详见招标公告。</w:t>
      </w:r>
    </w:p>
    <w:p w14:paraId="2C1B3F86">
      <w:pPr>
        <w:spacing w:line="360" w:lineRule="auto"/>
        <w:ind w:firstLine="420" w:firstLineChars="200"/>
        <w:rPr>
          <w:rFonts w:ascii="宋体" w:hAnsi="宋体" w:eastAsia="宋体"/>
          <w:color w:val="auto"/>
          <w:highlight w:val="none"/>
        </w:rPr>
      </w:pPr>
    </w:p>
    <w:p w14:paraId="701F2E7A">
      <w:pPr>
        <w:pStyle w:val="4"/>
        <w:spacing w:after="283" w:line="416" w:lineRule="auto"/>
        <w:ind w:left="132" w:firstLine="0" w:firstLineChars="0"/>
        <w:rPr>
          <w:rFonts w:ascii="宋体" w:hAnsi="宋体" w:eastAsia="宋体"/>
          <w:color w:val="auto"/>
          <w:highlight w:val="none"/>
        </w:rPr>
      </w:pPr>
      <w:bookmarkStart w:id="145" w:name="_Toc133420492"/>
      <w:bookmarkStart w:id="146" w:name="_Toc45266418"/>
      <w:bookmarkStart w:id="147" w:name="_Toc12718"/>
      <w:bookmarkStart w:id="148" w:name="_Toc51055736"/>
      <w:bookmarkStart w:id="149" w:name="_Toc138236346"/>
      <w:bookmarkStart w:id="150" w:name="_Toc36466587"/>
      <w:r>
        <w:rPr>
          <w:rFonts w:ascii="宋体" w:hAnsi="宋体" w:eastAsia="宋体"/>
          <w:color w:val="auto"/>
          <w:highlight w:val="none"/>
        </w:rPr>
        <w:t>3.6备选投标方案</w:t>
      </w:r>
      <w:bookmarkEnd w:id="145"/>
      <w:bookmarkEnd w:id="146"/>
      <w:bookmarkEnd w:id="147"/>
      <w:bookmarkEnd w:id="148"/>
      <w:bookmarkEnd w:id="149"/>
      <w:bookmarkEnd w:id="150"/>
    </w:p>
    <w:p w14:paraId="31FAD819">
      <w:pPr>
        <w:spacing w:line="360" w:lineRule="auto"/>
        <w:ind w:firstLine="420" w:firstLineChars="200"/>
        <w:rPr>
          <w:rFonts w:ascii="宋体" w:hAnsi="宋体" w:eastAsia="宋体"/>
          <w:color w:val="auto"/>
          <w:highlight w:val="none"/>
        </w:rPr>
      </w:pPr>
      <w:r>
        <w:rPr>
          <w:rFonts w:ascii="宋体" w:hAnsi="宋体" w:eastAsia="宋体"/>
          <w:color w:val="auto"/>
          <w:highlight w:val="none"/>
        </w:rPr>
        <w:t>3.6.1除投标人须知前附表规定允许外，投标人不得递交备选投标方案，否则其投标将被否</w:t>
      </w:r>
      <w:r>
        <w:rPr>
          <w:rFonts w:hint="eastAsia" w:ascii="宋体" w:hAnsi="宋体" w:eastAsia="宋体"/>
          <w:color w:val="auto"/>
          <w:highlight w:val="none"/>
        </w:rPr>
        <w:t>决。</w:t>
      </w:r>
    </w:p>
    <w:p w14:paraId="1455863A">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3.6.2允许投标人递交备选投标方案的，只有中标人所递交的备选投标方案方可予以考虑。 </w:t>
      </w:r>
      <w:r>
        <w:rPr>
          <w:rFonts w:hint="eastAsia" w:ascii="宋体" w:hAnsi="宋体" w:eastAsia="宋体"/>
          <w:color w:val="auto"/>
          <w:highlight w:val="none"/>
        </w:rPr>
        <w:t>评标委员会认为中标人的备选投标方案优于其按照招标文件要求编制的投标方案的，招标人可以接受该备选投标方案。</w:t>
      </w:r>
    </w:p>
    <w:p w14:paraId="021C4424">
      <w:pPr>
        <w:spacing w:line="360" w:lineRule="auto"/>
        <w:ind w:firstLine="420" w:firstLineChars="200"/>
        <w:rPr>
          <w:rFonts w:ascii="宋体" w:hAnsi="宋体" w:eastAsia="宋体"/>
          <w:color w:val="auto"/>
          <w:highlight w:val="none"/>
        </w:rPr>
      </w:pPr>
      <w:r>
        <w:rPr>
          <w:rFonts w:ascii="宋体" w:hAnsi="宋体" w:eastAsia="宋体"/>
          <w:color w:val="auto"/>
          <w:highlight w:val="none"/>
        </w:rPr>
        <w:t>3.6.3投标人提供两个或两个以上投标报价，或者在投标文件中提供一个报价，但同时提供两个或两个以上技术服务方案的，视为提供备选方案。</w:t>
      </w:r>
    </w:p>
    <w:p w14:paraId="2271F0BE">
      <w:pPr>
        <w:pStyle w:val="4"/>
        <w:spacing w:after="283" w:line="416" w:lineRule="auto"/>
        <w:ind w:left="132" w:firstLine="0" w:firstLineChars="0"/>
        <w:rPr>
          <w:rFonts w:ascii="宋体" w:hAnsi="宋体" w:eastAsia="宋体"/>
          <w:color w:val="auto"/>
          <w:highlight w:val="none"/>
        </w:rPr>
      </w:pPr>
      <w:bookmarkStart w:id="151" w:name="_Toc18187"/>
      <w:bookmarkStart w:id="152" w:name="_Toc45266419"/>
      <w:bookmarkStart w:id="153" w:name="_Toc133420493"/>
      <w:bookmarkStart w:id="154" w:name="_Toc51055737"/>
      <w:bookmarkStart w:id="155" w:name="_Toc36466588"/>
      <w:bookmarkStart w:id="156" w:name="_Toc138236347"/>
      <w:r>
        <w:rPr>
          <w:rFonts w:ascii="宋体" w:hAnsi="宋体" w:eastAsia="宋体"/>
          <w:color w:val="auto"/>
          <w:highlight w:val="none"/>
        </w:rPr>
        <w:t>3.7投标文件的编制</w:t>
      </w:r>
      <w:bookmarkEnd w:id="151"/>
      <w:bookmarkEnd w:id="152"/>
      <w:bookmarkEnd w:id="153"/>
      <w:bookmarkEnd w:id="154"/>
      <w:bookmarkEnd w:id="155"/>
      <w:bookmarkEnd w:id="156"/>
    </w:p>
    <w:p w14:paraId="17E31A1A">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3.7.1 </w:t>
      </w:r>
      <w:r>
        <w:rPr>
          <w:rFonts w:hint="eastAsia" w:ascii="宋体" w:hAnsi="宋体" w:eastAsia="宋体"/>
          <w:color w:val="auto"/>
          <w:highlight w:val="none"/>
        </w:rPr>
        <w:t>投标文件应按第六章“投标文件格式”进行编写，如有必要，可以增加附页，作为投标</w:t>
      </w:r>
      <w:r>
        <w:rPr>
          <w:rFonts w:ascii="宋体" w:hAnsi="宋体" w:eastAsia="宋体"/>
          <w:color w:val="auto"/>
          <w:highlight w:val="none"/>
        </w:rPr>
        <w:t xml:space="preserve"> </w:t>
      </w:r>
      <w:r>
        <w:rPr>
          <w:rFonts w:hint="eastAsia" w:ascii="宋体" w:hAnsi="宋体" w:eastAsia="宋体"/>
          <w:color w:val="auto"/>
          <w:highlight w:val="none"/>
        </w:rPr>
        <w:t>文件的组成部分。其中，投标函附录在满足招标文件实质性要求的基础上，可以提出比招标文</w:t>
      </w:r>
      <w:r>
        <w:rPr>
          <w:rFonts w:ascii="宋体" w:hAnsi="宋体" w:eastAsia="宋体"/>
          <w:color w:val="auto"/>
          <w:highlight w:val="none"/>
        </w:rPr>
        <w:t xml:space="preserve"> </w:t>
      </w:r>
      <w:r>
        <w:rPr>
          <w:rFonts w:hint="eastAsia" w:ascii="宋体" w:hAnsi="宋体" w:eastAsia="宋体"/>
          <w:color w:val="auto"/>
          <w:highlight w:val="none"/>
        </w:rPr>
        <w:t>件要求更有利于招标人的承诺。</w:t>
      </w:r>
    </w:p>
    <w:p w14:paraId="6D213BBC">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3.7.2 </w:t>
      </w:r>
      <w:r>
        <w:rPr>
          <w:rFonts w:hint="eastAsia" w:ascii="宋体" w:hAnsi="宋体" w:eastAsia="宋体"/>
          <w:color w:val="auto"/>
          <w:highlight w:val="none"/>
        </w:rPr>
        <w:t>投标文件应当对招标文件有关服务期限、投标有效期、</w:t>
      </w:r>
      <w:r>
        <w:rPr>
          <w:rFonts w:hint="eastAsia" w:ascii="宋体" w:hAnsi="宋体" w:eastAsia="宋体"/>
          <w:color w:val="auto"/>
          <w:highlight w:val="none"/>
          <w:lang w:eastAsia="zh-CN"/>
        </w:rPr>
        <w:t>招标人需求</w:t>
      </w:r>
      <w:r>
        <w:rPr>
          <w:rFonts w:hint="eastAsia" w:ascii="宋体" w:hAnsi="宋体" w:eastAsia="宋体"/>
          <w:color w:val="auto"/>
          <w:highlight w:val="none"/>
        </w:rPr>
        <w:t>、招标范围等实质性内容作出响应。</w:t>
      </w:r>
    </w:p>
    <w:p w14:paraId="611C67AB">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3.7.3（A）（1）投标文件应用不褪色的材料书写或打印，投标函、投标函附录及对投标文 </w:t>
      </w:r>
      <w:r>
        <w:rPr>
          <w:rFonts w:hint="eastAsia" w:ascii="宋体" w:hAnsi="宋体" w:eastAsia="宋体"/>
          <w:color w:val="auto"/>
          <w:highlight w:val="none"/>
        </w:rPr>
        <w:t>件的澄清、说明和补正应由投标人的法定代表人或其授权的代理人签字或盖单位章。由投标人</w:t>
      </w:r>
      <w:r>
        <w:rPr>
          <w:rFonts w:ascii="宋体" w:hAnsi="宋体" w:eastAsia="宋体"/>
          <w:color w:val="auto"/>
          <w:highlight w:val="none"/>
        </w:rPr>
        <w:t xml:space="preserve"> </w:t>
      </w:r>
      <w:r>
        <w:rPr>
          <w:rFonts w:hint="eastAsia" w:ascii="宋体" w:hAnsi="宋体" w:eastAsia="宋体"/>
          <w:color w:val="auto"/>
          <w:highlight w:val="none"/>
        </w:rPr>
        <w:t>的法定代表人签字的，应附法定代表人身份证明，由代理人签字的，应附授权委托书，身份证</w:t>
      </w:r>
      <w:r>
        <w:rPr>
          <w:rFonts w:ascii="宋体" w:hAnsi="宋体" w:eastAsia="宋体"/>
          <w:color w:val="auto"/>
          <w:highlight w:val="none"/>
        </w:rPr>
        <w:t xml:space="preserve"> </w:t>
      </w:r>
      <w:r>
        <w:rPr>
          <w:rFonts w:hint="eastAsia" w:ascii="宋体" w:hAnsi="宋体" w:eastAsia="宋体"/>
          <w:color w:val="auto"/>
          <w:highlight w:val="none"/>
        </w:rPr>
        <w:t>明或授权委托书应符合第六章“投标文件格式”的要求。投标文件应尽量避免涂改、行间插字或</w:t>
      </w:r>
      <w:r>
        <w:rPr>
          <w:rFonts w:ascii="宋体" w:hAnsi="宋体" w:eastAsia="宋体"/>
          <w:color w:val="auto"/>
          <w:highlight w:val="none"/>
        </w:rPr>
        <w:t xml:space="preserve"> 删除。如果出现上述情况，改动之处应由投标人的法定代表人或其授权的代理人签字或盖单位 章。</w:t>
      </w:r>
    </w:p>
    <w:p w14:paraId="7FBEFA89">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 xml:space="preserve">2）投标文件正本一份，副本份数见投标人须知前附表。正本和副本的封面右上角上应清 </w:t>
      </w:r>
      <w:r>
        <w:rPr>
          <w:rFonts w:hint="eastAsia" w:ascii="宋体" w:hAnsi="宋体" w:eastAsia="宋体"/>
          <w:color w:val="auto"/>
          <w:highlight w:val="none"/>
        </w:rPr>
        <w:t>楚地标记“正本”或“副本”的字样。投标人应根据投标人须知前附表要求提供电子版文件。当副</w:t>
      </w:r>
      <w:r>
        <w:rPr>
          <w:rFonts w:ascii="宋体" w:hAnsi="宋体" w:eastAsia="宋体"/>
          <w:color w:val="auto"/>
          <w:highlight w:val="none"/>
        </w:rPr>
        <w:t xml:space="preserve"> </w:t>
      </w:r>
      <w:r>
        <w:rPr>
          <w:rFonts w:hint="eastAsia" w:ascii="宋体" w:hAnsi="宋体" w:eastAsia="宋体"/>
          <w:color w:val="auto"/>
          <w:highlight w:val="none"/>
        </w:rPr>
        <w:t>本和正本不一致或电子版文件和纸质正本文件不一致时，以纸质正本文件为准。</w:t>
      </w:r>
    </w:p>
    <w:p w14:paraId="1697F62D">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3）投标文件的正本与副本应分别装订，并编制目录，投标文件需分册装订的，具体分册装订要求见投标人须知前附表规定。</w:t>
      </w:r>
    </w:p>
    <w:p w14:paraId="2A22BDB1">
      <w:pPr>
        <w:pStyle w:val="3"/>
        <w:rPr>
          <w:color w:val="auto"/>
          <w:highlight w:val="none"/>
        </w:rPr>
      </w:pPr>
      <w:bookmarkStart w:id="157" w:name="_Toc138236348"/>
      <w:bookmarkStart w:id="158" w:name="_Toc12071"/>
      <w:r>
        <w:rPr>
          <w:color w:val="auto"/>
          <w:highlight w:val="none"/>
        </w:rPr>
        <w:t>4.投标</w:t>
      </w:r>
      <w:bookmarkEnd w:id="157"/>
      <w:bookmarkEnd w:id="158"/>
    </w:p>
    <w:p w14:paraId="2FD7829E">
      <w:pPr>
        <w:pStyle w:val="4"/>
        <w:spacing w:after="283" w:line="416" w:lineRule="auto"/>
        <w:ind w:left="132" w:firstLine="0" w:firstLineChars="0"/>
        <w:rPr>
          <w:rFonts w:ascii="宋体" w:hAnsi="宋体" w:eastAsia="宋体"/>
          <w:color w:val="auto"/>
          <w:highlight w:val="none"/>
        </w:rPr>
      </w:pPr>
      <w:bookmarkStart w:id="159" w:name="_Toc616"/>
      <w:bookmarkStart w:id="160" w:name="_Toc138236349"/>
      <w:bookmarkStart w:id="161" w:name="_Toc45266421"/>
      <w:bookmarkStart w:id="162" w:name="_Toc51055739"/>
      <w:bookmarkStart w:id="163" w:name="_Toc36466590"/>
      <w:bookmarkStart w:id="164" w:name="_Toc133420495"/>
      <w:r>
        <w:rPr>
          <w:rFonts w:ascii="宋体" w:hAnsi="宋体" w:eastAsia="宋体"/>
          <w:color w:val="auto"/>
          <w:highlight w:val="none"/>
        </w:rPr>
        <w:t>4.1投标文件的密封和标记</w:t>
      </w:r>
      <w:bookmarkEnd w:id="159"/>
      <w:bookmarkEnd w:id="160"/>
      <w:bookmarkEnd w:id="161"/>
      <w:bookmarkEnd w:id="162"/>
      <w:bookmarkEnd w:id="163"/>
      <w:bookmarkEnd w:id="164"/>
    </w:p>
    <w:p w14:paraId="524B9C17">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4.1.1 </w:t>
      </w:r>
      <w:r>
        <w:rPr>
          <w:rFonts w:hint="eastAsia" w:ascii="宋体" w:hAnsi="宋体" w:eastAsia="宋体"/>
          <w:color w:val="auto"/>
          <w:highlight w:val="none"/>
        </w:rPr>
        <w:t>（</w:t>
      </w:r>
      <w:r>
        <w:rPr>
          <w:rFonts w:ascii="宋体" w:hAnsi="宋体" w:eastAsia="宋体"/>
          <w:color w:val="auto"/>
          <w:highlight w:val="none"/>
        </w:rPr>
        <w:t xml:space="preserve">A）投标文件应密封包装，并在封套的封口处加盖投标人单位章或由投标人的法定 </w:t>
      </w:r>
      <w:r>
        <w:rPr>
          <w:rFonts w:hint="eastAsia" w:ascii="宋体" w:hAnsi="宋体" w:eastAsia="宋体"/>
          <w:color w:val="auto"/>
          <w:highlight w:val="none"/>
        </w:rPr>
        <w:t>代表人或其授权的代理人签字。</w:t>
      </w:r>
    </w:p>
    <w:p w14:paraId="3A5E224F">
      <w:pPr>
        <w:spacing w:line="360" w:lineRule="auto"/>
        <w:ind w:firstLine="420" w:firstLineChars="200"/>
        <w:rPr>
          <w:rFonts w:ascii="宋体" w:hAnsi="宋体" w:eastAsia="宋体"/>
          <w:color w:val="auto"/>
          <w:highlight w:val="none"/>
        </w:rPr>
      </w:pPr>
      <w:r>
        <w:rPr>
          <w:rFonts w:ascii="宋体" w:hAnsi="宋体" w:eastAsia="宋体"/>
          <w:color w:val="auto"/>
          <w:highlight w:val="none"/>
        </w:rPr>
        <w:t>4.1.2投标文件封套上应写明的内容见投标人须知前附表。</w:t>
      </w:r>
    </w:p>
    <w:p w14:paraId="061F2E53">
      <w:pPr>
        <w:spacing w:line="360" w:lineRule="auto"/>
        <w:ind w:firstLine="420" w:firstLineChars="200"/>
        <w:rPr>
          <w:rFonts w:ascii="宋体" w:hAnsi="宋体" w:eastAsia="宋体"/>
          <w:color w:val="auto"/>
          <w:highlight w:val="none"/>
        </w:rPr>
      </w:pPr>
      <w:r>
        <w:rPr>
          <w:rFonts w:ascii="宋体" w:hAnsi="宋体" w:eastAsia="宋体"/>
          <w:color w:val="auto"/>
          <w:highlight w:val="none"/>
        </w:rPr>
        <w:t>4.1.3未按本章第4.1.1项要求密封的投标文件，招标人将予以拒收。</w:t>
      </w:r>
    </w:p>
    <w:p w14:paraId="458B05B3">
      <w:pPr>
        <w:pStyle w:val="4"/>
        <w:spacing w:after="283" w:line="416" w:lineRule="auto"/>
        <w:ind w:left="132" w:firstLine="0" w:firstLineChars="0"/>
        <w:rPr>
          <w:rFonts w:ascii="宋体" w:hAnsi="宋体" w:eastAsia="宋体"/>
          <w:color w:val="auto"/>
          <w:highlight w:val="none"/>
        </w:rPr>
      </w:pPr>
      <w:bookmarkStart w:id="165" w:name="_Toc133420496"/>
      <w:bookmarkStart w:id="166" w:name="_Toc36466591"/>
      <w:bookmarkStart w:id="167" w:name="_Toc6483"/>
      <w:bookmarkStart w:id="168" w:name="_Toc51055740"/>
      <w:bookmarkStart w:id="169" w:name="_Toc138236350"/>
      <w:bookmarkStart w:id="170" w:name="_Toc45266422"/>
      <w:r>
        <w:rPr>
          <w:rFonts w:ascii="宋体" w:hAnsi="宋体" w:eastAsia="宋体"/>
          <w:color w:val="auto"/>
          <w:highlight w:val="none"/>
        </w:rPr>
        <w:t>4.2投标文件的递交</w:t>
      </w:r>
      <w:bookmarkEnd w:id="165"/>
      <w:bookmarkEnd w:id="166"/>
      <w:bookmarkEnd w:id="167"/>
      <w:bookmarkEnd w:id="168"/>
      <w:bookmarkEnd w:id="169"/>
      <w:bookmarkEnd w:id="170"/>
    </w:p>
    <w:p w14:paraId="6300A2C4">
      <w:pPr>
        <w:spacing w:line="360" w:lineRule="auto"/>
        <w:ind w:firstLine="420" w:firstLineChars="200"/>
        <w:rPr>
          <w:rFonts w:ascii="宋体" w:hAnsi="宋体" w:eastAsia="宋体"/>
          <w:color w:val="auto"/>
          <w:highlight w:val="none"/>
        </w:rPr>
      </w:pPr>
      <w:r>
        <w:rPr>
          <w:rFonts w:ascii="宋体" w:hAnsi="宋体" w:eastAsia="宋体"/>
          <w:color w:val="auto"/>
          <w:highlight w:val="none"/>
        </w:rPr>
        <w:t>4.2.1投标人应在投标人须知前附表规定的投标截止时间前递交投标文件。</w:t>
      </w:r>
    </w:p>
    <w:p w14:paraId="6150CE4C">
      <w:pPr>
        <w:spacing w:line="360" w:lineRule="auto"/>
        <w:ind w:firstLine="420" w:firstLineChars="200"/>
        <w:rPr>
          <w:rFonts w:ascii="宋体" w:hAnsi="宋体" w:eastAsia="宋体"/>
          <w:color w:val="auto"/>
          <w:highlight w:val="none"/>
        </w:rPr>
      </w:pPr>
      <w:r>
        <w:rPr>
          <w:rFonts w:ascii="宋体" w:hAnsi="宋体" w:eastAsia="宋体"/>
          <w:color w:val="auto"/>
          <w:highlight w:val="none"/>
        </w:rPr>
        <w:t>4.2.2（A）投标人递交投标文件的地点：见投标人须知前附表。</w:t>
      </w:r>
    </w:p>
    <w:p w14:paraId="13E561B2">
      <w:pPr>
        <w:spacing w:line="360" w:lineRule="auto"/>
        <w:ind w:firstLine="420" w:firstLineChars="200"/>
        <w:rPr>
          <w:rFonts w:ascii="宋体" w:hAnsi="宋体" w:eastAsia="宋体"/>
          <w:color w:val="auto"/>
          <w:highlight w:val="none"/>
        </w:rPr>
      </w:pPr>
      <w:r>
        <w:rPr>
          <w:rFonts w:ascii="宋体" w:hAnsi="宋体" w:eastAsia="宋体"/>
          <w:color w:val="auto"/>
          <w:highlight w:val="none"/>
        </w:rPr>
        <w:t>4.2.3除投标人须知前附表另有规定外，投标人所递交的投标文件不予退还。</w:t>
      </w:r>
    </w:p>
    <w:p w14:paraId="07E11BF0">
      <w:pPr>
        <w:spacing w:line="360" w:lineRule="auto"/>
        <w:ind w:firstLine="420" w:firstLineChars="200"/>
        <w:rPr>
          <w:rFonts w:ascii="宋体" w:hAnsi="宋体" w:eastAsia="宋体"/>
          <w:color w:val="auto"/>
          <w:highlight w:val="none"/>
        </w:rPr>
      </w:pPr>
      <w:r>
        <w:rPr>
          <w:rFonts w:ascii="宋体" w:hAnsi="宋体" w:eastAsia="宋体"/>
          <w:color w:val="auto"/>
          <w:highlight w:val="none"/>
        </w:rPr>
        <w:t>4.2.4（A）招标人收到投标文件后，向投标人出具签收凭证。</w:t>
      </w:r>
    </w:p>
    <w:p w14:paraId="117C1749">
      <w:pPr>
        <w:spacing w:line="360" w:lineRule="auto"/>
        <w:ind w:firstLine="420" w:firstLineChars="200"/>
        <w:rPr>
          <w:rFonts w:ascii="宋体" w:hAnsi="宋体" w:eastAsia="宋体"/>
          <w:color w:val="auto"/>
          <w:highlight w:val="none"/>
        </w:rPr>
      </w:pPr>
      <w:r>
        <w:rPr>
          <w:rFonts w:ascii="宋体" w:hAnsi="宋体" w:eastAsia="宋体"/>
          <w:color w:val="auto"/>
          <w:highlight w:val="none"/>
        </w:rPr>
        <w:t>4.2.5（A）逾期送达的投标文件，招标人将予以拒收。</w:t>
      </w:r>
    </w:p>
    <w:p w14:paraId="7C4B643B">
      <w:pPr>
        <w:pStyle w:val="4"/>
        <w:spacing w:after="283" w:line="416" w:lineRule="auto"/>
        <w:ind w:left="132" w:firstLine="0" w:firstLineChars="0"/>
        <w:rPr>
          <w:rFonts w:ascii="宋体" w:hAnsi="宋体" w:eastAsia="宋体"/>
          <w:color w:val="auto"/>
          <w:highlight w:val="none"/>
        </w:rPr>
      </w:pPr>
      <w:bookmarkStart w:id="171" w:name="_Toc133420497"/>
      <w:bookmarkStart w:id="172" w:name="_Toc36466592"/>
      <w:bookmarkStart w:id="173" w:name="_Toc51055741"/>
      <w:bookmarkStart w:id="174" w:name="_Toc18491"/>
      <w:bookmarkStart w:id="175" w:name="_Toc45266423"/>
      <w:bookmarkStart w:id="176" w:name="_Toc138236351"/>
      <w:r>
        <w:rPr>
          <w:rFonts w:ascii="宋体" w:hAnsi="宋体" w:eastAsia="宋体"/>
          <w:color w:val="auto"/>
          <w:highlight w:val="none"/>
        </w:rPr>
        <w:t>4.3投标文件的修改与撤回</w:t>
      </w:r>
      <w:bookmarkEnd w:id="171"/>
      <w:bookmarkEnd w:id="172"/>
      <w:bookmarkEnd w:id="173"/>
      <w:bookmarkEnd w:id="174"/>
      <w:bookmarkEnd w:id="175"/>
      <w:bookmarkEnd w:id="176"/>
    </w:p>
    <w:p w14:paraId="12A86F28">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4.3.1在本章第 4.2.1 </w:t>
      </w:r>
      <w:r>
        <w:rPr>
          <w:rFonts w:hint="eastAsia" w:ascii="宋体" w:hAnsi="宋体" w:eastAsia="宋体"/>
          <w:color w:val="auto"/>
          <w:highlight w:val="none"/>
        </w:rPr>
        <w:t>项规定的投标截止时间前，投标人可以修改或撤回已递交的投标文件，但应以书面形式通知招标人。</w:t>
      </w:r>
    </w:p>
    <w:p w14:paraId="607664E5">
      <w:pPr>
        <w:spacing w:line="360" w:lineRule="auto"/>
        <w:ind w:firstLine="420" w:firstLineChars="200"/>
        <w:rPr>
          <w:rFonts w:ascii="宋体" w:hAnsi="宋体" w:eastAsia="宋体"/>
          <w:color w:val="auto"/>
          <w:highlight w:val="none"/>
        </w:rPr>
      </w:pPr>
      <w:r>
        <w:rPr>
          <w:rFonts w:ascii="宋体" w:hAnsi="宋体" w:eastAsia="宋体"/>
          <w:color w:val="auto"/>
          <w:highlight w:val="none"/>
        </w:rPr>
        <w:t>4.3.2（A）投标人修改或撤回已递交投标文件的书面通知应按照本章第 3.7.3（A）项的要 求签字或盖章。招标人收到书面通知后，向投标人出具签收凭证。</w:t>
      </w:r>
    </w:p>
    <w:p w14:paraId="2C91F28B">
      <w:pPr>
        <w:spacing w:line="360" w:lineRule="auto"/>
        <w:ind w:firstLine="420" w:firstLineChars="200"/>
        <w:rPr>
          <w:rFonts w:ascii="宋体" w:hAnsi="宋体" w:eastAsia="宋体"/>
          <w:strike/>
          <w:color w:val="auto"/>
          <w:highlight w:val="none"/>
        </w:rPr>
      </w:pPr>
      <w:r>
        <w:rPr>
          <w:rFonts w:ascii="宋体" w:hAnsi="宋体" w:eastAsia="宋体"/>
          <w:strike/>
          <w:color w:val="auto"/>
          <w:highlight w:val="none"/>
        </w:rPr>
        <w:t>4.3.3投标人撤回投标文件的，招标人自收到投标人书面撤回通知之日起5日内退还已收取的投标保证金。</w:t>
      </w:r>
    </w:p>
    <w:p w14:paraId="3B81671D">
      <w:pPr>
        <w:spacing w:line="360" w:lineRule="auto"/>
        <w:ind w:firstLine="420" w:firstLineChars="200"/>
        <w:rPr>
          <w:rFonts w:ascii="宋体" w:hAnsi="宋体" w:eastAsia="宋体"/>
          <w:color w:val="auto"/>
          <w:highlight w:val="none"/>
        </w:rPr>
      </w:pPr>
      <w:r>
        <w:rPr>
          <w:rFonts w:ascii="宋体" w:hAnsi="宋体" w:eastAsia="宋体"/>
          <w:color w:val="auto"/>
          <w:highlight w:val="none"/>
        </w:rPr>
        <w:t>4.3.4修改的内容为投标文件的组成部分。修改的投标文件应按照本章第3条、第4条的规定进行编制、密封、标记和递交，并标明“修改”字样。</w:t>
      </w:r>
    </w:p>
    <w:p w14:paraId="150387B8">
      <w:pPr>
        <w:pStyle w:val="3"/>
        <w:rPr>
          <w:color w:val="auto"/>
          <w:highlight w:val="none"/>
        </w:rPr>
      </w:pPr>
      <w:bookmarkStart w:id="177" w:name="_Toc138236352"/>
      <w:bookmarkStart w:id="178" w:name="_Toc12158"/>
      <w:r>
        <w:rPr>
          <w:color w:val="auto"/>
          <w:highlight w:val="none"/>
        </w:rPr>
        <w:t xml:space="preserve">5. </w:t>
      </w:r>
      <w:r>
        <w:rPr>
          <w:rFonts w:hint="eastAsia"/>
          <w:color w:val="auto"/>
          <w:highlight w:val="none"/>
        </w:rPr>
        <w:t>开标</w:t>
      </w:r>
      <w:bookmarkEnd w:id="177"/>
      <w:bookmarkEnd w:id="178"/>
    </w:p>
    <w:p w14:paraId="53C3C730">
      <w:pPr>
        <w:pStyle w:val="4"/>
        <w:spacing w:after="283" w:line="416" w:lineRule="auto"/>
        <w:ind w:left="132" w:firstLine="0" w:firstLineChars="0"/>
        <w:rPr>
          <w:rFonts w:ascii="宋体" w:hAnsi="宋体" w:eastAsia="宋体"/>
          <w:color w:val="auto"/>
          <w:highlight w:val="none"/>
        </w:rPr>
      </w:pPr>
      <w:bookmarkStart w:id="179" w:name="_Toc51055743"/>
      <w:bookmarkStart w:id="180" w:name="_Toc133420499"/>
      <w:bookmarkStart w:id="181" w:name="_Toc28914"/>
      <w:bookmarkStart w:id="182" w:name="_Toc45266425"/>
      <w:bookmarkStart w:id="183" w:name="_Toc138236353"/>
      <w:bookmarkStart w:id="184" w:name="_Toc36466594"/>
      <w:r>
        <w:rPr>
          <w:rFonts w:ascii="宋体" w:hAnsi="宋体" w:eastAsia="宋体"/>
          <w:color w:val="auto"/>
          <w:highlight w:val="none"/>
        </w:rPr>
        <w:t>5.1开标时间和地点（A）</w:t>
      </w:r>
      <w:bookmarkEnd w:id="179"/>
      <w:bookmarkEnd w:id="180"/>
      <w:bookmarkEnd w:id="181"/>
      <w:bookmarkEnd w:id="182"/>
      <w:bookmarkEnd w:id="183"/>
    </w:p>
    <w:p w14:paraId="0EFF3555">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招标人在本章第</w:t>
      </w:r>
      <w:r>
        <w:rPr>
          <w:rFonts w:ascii="宋体" w:hAnsi="宋体" w:eastAsia="宋体"/>
          <w:color w:val="auto"/>
          <w:highlight w:val="none"/>
        </w:rPr>
        <w:t xml:space="preserve"> 4.2.1项规定的投标截止时间（开标时间）和投标人须知前附表规定的地点公开开标，并邀请所有投标人的法定代表人或其委托代理人准时参加。</w:t>
      </w:r>
    </w:p>
    <w:bookmarkEnd w:id="184"/>
    <w:p w14:paraId="612318FB">
      <w:pPr>
        <w:pStyle w:val="4"/>
        <w:spacing w:after="283" w:line="416" w:lineRule="auto"/>
        <w:ind w:left="132" w:firstLine="0" w:firstLineChars="0"/>
        <w:rPr>
          <w:rFonts w:ascii="宋体" w:hAnsi="宋体" w:eastAsia="宋体"/>
          <w:color w:val="auto"/>
          <w:highlight w:val="none"/>
        </w:rPr>
      </w:pPr>
      <w:bookmarkStart w:id="185" w:name="_Toc133420501"/>
      <w:bookmarkStart w:id="186" w:name="_Toc51055745"/>
      <w:bookmarkStart w:id="187" w:name="_Toc45266427"/>
      <w:bookmarkStart w:id="188" w:name="_Toc36466595"/>
      <w:bookmarkStart w:id="189" w:name="_Toc138236355"/>
      <w:bookmarkStart w:id="190" w:name="_Toc3402"/>
      <w:r>
        <w:rPr>
          <w:rFonts w:ascii="宋体" w:hAnsi="宋体" w:eastAsia="宋体"/>
          <w:color w:val="auto"/>
          <w:highlight w:val="none"/>
        </w:rPr>
        <w:t>5.2开标程序</w:t>
      </w:r>
      <w:bookmarkEnd w:id="185"/>
      <w:bookmarkEnd w:id="186"/>
      <w:bookmarkEnd w:id="187"/>
      <w:bookmarkEnd w:id="188"/>
      <w:bookmarkEnd w:id="189"/>
      <w:bookmarkEnd w:id="190"/>
    </w:p>
    <w:p w14:paraId="5915CB7D">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主持人按下列程序进行开标：</w:t>
      </w:r>
    </w:p>
    <w:p w14:paraId="1D962CA7">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1）宣布开标纪律；</w:t>
      </w:r>
    </w:p>
    <w:p w14:paraId="24C24F65">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2）公布在投标截止时间前递交投标文件的投标人名称；</w:t>
      </w:r>
    </w:p>
    <w:p w14:paraId="4BDE608F">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3）宣布开标人、唱标人、记录人、</w:t>
      </w:r>
      <w:r>
        <w:rPr>
          <w:rFonts w:hint="eastAsia" w:ascii="宋体" w:hAnsi="宋体" w:eastAsia="宋体"/>
          <w:color w:val="auto"/>
          <w:highlight w:val="none"/>
        </w:rPr>
        <w:t>监标人等有关人员姓名；</w:t>
      </w:r>
    </w:p>
    <w:p w14:paraId="1EF5FDDE">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 xml:space="preserve">4）（A）检查投标文件的密封情况，按照投标人须知前附表规定的开标顺序当众开标， </w:t>
      </w:r>
      <w:r>
        <w:rPr>
          <w:rFonts w:hint="eastAsia" w:ascii="宋体" w:hAnsi="宋体" w:eastAsia="宋体"/>
          <w:color w:val="auto"/>
          <w:highlight w:val="none"/>
        </w:rPr>
        <w:t>公布招标项目名称、投标人名称、投标报价、服务期限及其他内容，并记录在案；</w:t>
      </w:r>
    </w:p>
    <w:p w14:paraId="012650EE">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5）（A）投标人代表、招标人代表、</w:t>
      </w:r>
      <w:r>
        <w:rPr>
          <w:rFonts w:hint="eastAsia" w:ascii="宋体" w:hAnsi="宋体" w:eastAsia="宋体"/>
          <w:color w:val="auto"/>
          <w:highlight w:val="none"/>
        </w:rPr>
        <w:t>监标人、记录人等有关人员在开标记录上签字确认；</w:t>
      </w:r>
    </w:p>
    <w:p w14:paraId="564E6B09">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6）开标结束。</w:t>
      </w:r>
    </w:p>
    <w:p w14:paraId="790B440A">
      <w:pPr>
        <w:pStyle w:val="4"/>
        <w:spacing w:after="283" w:line="416" w:lineRule="auto"/>
        <w:ind w:left="132" w:firstLine="0" w:firstLineChars="0"/>
        <w:rPr>
          <w:rFonts w:ascii="宋体" w:hAnsi="宋体" w:eastAsia="宋体"/>
          <w:color w:val="auto"/>
          <w:highlight w:val="none"/>
        </w:rPr>
      </w:pPr>
      <w:bookmarkStart w:id="191" w:name="_Toc133420502"/>
      <w:bookmarkStart w:id="192" w:name="_Toc728"/>
      <w:bookmarkStart w:id="193" w:name="_Toc45266428"/>
      <w:bookmarkStart w:id="194" w:name="_Toc51055746"/>
      <w:bookmarkStart w:id="195" w:name="_Toc36466596"/>
      <w:bookmarkStart w:id="196" w:name="_Toc138236356"/>
      <w:r>
        <w:rPr>
          <w:rFonts w:ascii="宋体" w:hAnsi="宋体" w:eastAsia="宋体"/>
          <w:color w:val="auto"/>
          <w:highlight w:val="none"/>
        </w:rPr>
        <w:t>5.3开标异议</w:t>
      </w:r>
      <w:bookmarkEnd w:id="191"/>
      <w:bookmarkEnd w:id="192"/>
      <w:bookmarkEnd w:id="193"/>
      <w:bookmarkEnd w:id="194"/>
      <w:bookmarkEnd w:id="195"/>
      <w:bookmarkEnd w:id="196"/>
    </w:p>
    <w:p w14:paraId="03C814F4">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投标人对开标有异议的，应当在开标现场提出，招标人当场作出答复，并制作记录。</w:t>
      </w:r>
    </w:p>
    <w:p w14:paraId="2C34F508">
      <w:pPr>
        <w:pStyle w:val="3"/>
        <w:rPr>
          <w:color w:val="auto"/>
          <w:highlight w:val="none"/>
        </w:rPr>
      </w:pPr>
      <w:bookmarkStart w:id="197" w:name="_Toc15452"/>
      <w:bookmarkStart w:id="198" w:name="_Toc138236357"/>
      <w:r>
        <w:rPr>
          <w:color w:val="auto"/>
          <w:highlight w:val="none"/>
        </w:rPr>
        <w:t>6.评标</w:t>
      </w:r>
      <w:bookmarkEnd w:id="197"/>
      <w:bookmarkEnd w:id="198"/>
    </w:p>
    <w:p w14:paraId="7DAD2F08">
      <w:pPr>
        <w:pStyle w:val="4"/>
        <w:spacing w:after="283" w:line="416" w:lineRule="auto"/>
        <w:ind w:left="132" w:firstLine="0" w:firstLineChars="0"/>
        <w:rPr>
          <w:rFonts w:ascii="宋体" w:hAnsi="宋体" w:eastAsia="宋体"/>
          <w:color w:val="auto"/>
          <w:highlight w:val="none"/>
        </w:rPr>
      </w:pPr>
      <w:bookmarkStart w:id="199" w:name="_Toc51055748"/>
      <w:bookmarkStart w:id="200" w:name="_Toc133420504"/>
      <w:bookmarkStart w:id="201" w:name="_Toc36466598"/>
      <w:bookmarkStart w:id="202" w:name="_Toc45266430"/>
      <w:bookmarkStart w:id="203" w:name="_Toc138236358"/>
      <w:bookmarkStart w:id="204" w:name="_Toc4980"/>
      <w:r>
        <w:rPr>
          <w:rFonts w:ascii="宋体" w:hAnsi="宋体" w:eastAsia="宋体"/>
          <w:color w:val="auto"/>
          <w:highlight w:val="none"/>
        </w:rPr>
        <w:t>6.1评标委员会</w:t>
      </w:r>
      <w:bookmarkEnd w:id="199"/>
      <w:bookmarkEnd w:id="200"/>
      <w:bookmarkEnd w:id="201"/>
      <w:bookmarkEnd w:id="202"/>
      <w:bookmarkEnd w:id="203"/>
      <w:bookmarkEnd w:id="204"/>
    </w:p>
    <w:p w14:paraId="3DC5C0E6">
      <w:pPr>
        <w:spacing w:line="360" w:lineRule="auto"/>
        <w:ind w:firstLine="420" w:firstLineChars="200"/>
        <w:rPr>
          <w:rFonts w:ascii="宋体" w:hAnsi="宋体" w:eastAsia="宋体"/>
          <w:color w:val="auto"/>
          <w:highlight w:val="none"/>
        </w:rPr>
      </w:pPr>
      <w:r>
        <w:rPr>
          <w:rFonts w:ascii="宋体" w:hAnsi="宋体" w:eastAsia="宋体"/>
          <w:color w:val="auto"/>
          <w:highlight w:val="none"/>
        </w:rPr>
        <w:t>6.1.1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63F87A83">
      <w:pPr>
        <w:spacing w:line="360" w:lineRule="auto"/>
        <w:ind w:firstLine="420" w:firstLineChars="200"/>
        <w:rPr>
          <w:rFonts w:ascii="宋体" w:hAnsi="宋体" w:eastAsia="宋体"/>
          <w:color w:val="auto"/>
          <w:highlight w:val="none"/>
        </w:rPr>
      </w:pPr>
      <w:r>
        <w:rPr>
          <w:rFonts w:ascii="宋体" w:hAnsi="宋体" w:eastAsia="宋体"/>
          <w:color w:val="auto"/>
          <w:highlight w:val="none"/>
        </w:rPr>
        <w:t>6.1.2评标委员会成员有下列情形之一的，应当回避：</w:t>
      </w:r>
    </w:p>
    <w:p w14:paraId="087D43FC">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1）投标人或投标人主要负责人的近亲属；</w:t>
      </w:r>
    </w:p>
    <w:p w14:paraId="5EE5DCF5">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2）项目主管部门或者行政监督部门的人员；</w:t>
      </w:r>
    </w:p>
    <w:p w14:paraId="6552EE8F">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3）与投标人有经济利益关系，可能影响对投标公正评审的；</w:t>
      </w:r>
    </w:p>
    <w:p w14:paraId="60A62477">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 xml:space="preserve">4）曾因在招标、评标以及其他与招标投标有关活动中从事违法行为而受过行政处罚 </w:t>
      </w:r>
      <w:r>
        <w:rPr>
          <w:rFonts w:hint="eastAsia" w:ascii="宋体" w:hAnsi="宋体" w:eastAsia="宋体"/>
          <w:color w:val="auto"/>
          <w:highlight w:val="none"/>
        </w:rPr>
        <w:t>或刑事处罚的；</w:t>
      </w:r>
    </w:p>
    <w:p w14:paraId="3A855A6A">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5）与投标人有其他利害关系。</w:t>
      </w:r>
    </w:p>
    <w:p w14:paraId="25FBB6A6">
      <w:pPr>
        <w:spacing w:line="360" w:lineRule="auto"/>
        <w:ind w:firstLine="420" w:firstLineChars="200"/>
        <w:rPr>
          <w:rFonts w:ascii="宋体" w:hAnsi="宋体" w:eastAsia="宋体"/>
          <w:color w:val="auto"/>
          <w:highlight w:val="none"/>
        </w:rPr>
      </w:pPr>
      <w:r>
        <w:rPr>
          <w:rFonts w:ascii="宋体" w:hAnsi="宋体" w:eastAsia="宋体"/>
          <w:color w:val="auto"/>
          <w:highlight w:val="none"/>
        </w:rPr>
        <w:t>6.1.3评标过程中，评标委员会成员有回避事由、擅离职守或者因健康等原因不能继续评标的，招标人有权更换。被更换的评标委员会成员</w:t>
      </w:r>
      <w:r>
        <w:rPr>
          <w:rFonts w:hint="eastAsia" w:ascii="宋体" w:hAnsi="宋体" w:eastAsia="宋体"/>
          <w:color w:val="auto"/>
          <w:highlight w:val="none"/>
        </w:rPr>
        <w:t>作出的评审结论无效，由更换后的评标委员会成员重新进行评审。</w:t>
      </w:r>
    </w:p>
    <w:p w14:paraId="54A4E0BB">
      <w:pPr>
        <w:pStyle w:val="4"/>
        <w:spacing w:after="283" w:line="416" w:lineRule="auto"/>
        <w:ind w:left="132" w:firstLine="0" w:firstLineChars="0"/>
        <w:rPr>
          <w:rFonts w:ascii="宋体" w:hAnsi="宋体" w:eastAsia="宋体"/>
          <w:color w:val="auto"/>
          <w:highlight w:val="none"/>
        </w:rPr>
      </w:pPr>
      <w:bookmarkStart w:id="205" w:name="_Toc19634"/>
      <w:bookmarkStart w:id="206" w:name="_Toc36466599"/>
      <w:bookmarkStart w:id="207" w:name="_Toc45266431"/>
      <w:bookmarkStart w:id="208" w:name="_Toc51055749"/>
      <w:bookmarkStart w:id="209" w:name="_Toc133420505"/>
      <w:bookmarkStart w:id="210" w:name="_Toc138236359"/>
      <w:r>
        <w:rPr>
          <w:rFonts w:ascii="宋体" w:hAnsi="宋体" w:eastAsia="宋体"/>
          <w:color w:val="auto"/>
          <w:highlight w:val="none"/>
        </w:rPr>
        <w:t>6.2评标原则</w:t>
      </w:r>
      <w:bookmarkEnd w:id="205"/>
      <w:bookmarkEnd w:id="206"/>
      <w:bookmarkEnd w:id="207"/>
      <w:bookmarkEnd w:id="208"/>
      <w:bookmarkEnd w:id="209"/>
      <w:bookmarkEnd w:id="210"/>
    </w:p>
    <w:p w14:paraId="0217D470">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评标活动遵循公平、公正、科学和择优的原则。</w:t>
      </w:r>
    </w:p>
    <w:p w14:paraId="282728FA">
      <w:pPr>
        <w:pStyle w:val="4"/>
        <w:spacing w:after="283" w:line="416" w:lineRule="auto"/>
        <w:ind w:left="132" w:firstLine="0" w:firstLineChars="0"/>
        <w:rPr>
          <w:rFonts w:ascii="宋体" w:hAnsi="宋体" w:eastAsia="宋体"/>
          <w:color w:val="auto"/>
          <w:highlight w:val="none"/>
        </w:rPr>
      </w:pPr>
      <w:bookmarkStart w:id="211" w:name="_Toc18712"/>
      <w:bookmarkStart w:id="212" w:name="_Toc138236360"/>
      <w:bookmarkStart w:id="213" w:name="_Toc45266432"/>
      <w:bookmarkStart w:id="214" w:name="_Toc133420506"/>
      <w:bookmarkStart w:id="215" w:name="_Toc36466600"/>
      <w:bookmarkStart w:id="216" w:name="_Toc51055750"/>
      <w:r>
        <w:rPr>
          <w:rFonts w:ascii="宋体" w:hAnsi="宋体" w:eastAsia="宋体"/>
          <w:color w:val="auto"/>
          <w:highlight w:val="none"/>
        </w:rPr>
        <w:t>6.3评标</w:t>
      </w:r>
      <w:bookmarkEnd w:id="211"/>
      <w:bookmarkEnd w:id="212"/>
      <w:bookmarkEnd w:id="213"/>
      <w:bookmarkEnd w:id="214"/>
      <w:bookmarkEnd w:id="215"/>
      <w:bookmarkEnd w:id="216"/>
    </w:p>
    <w:p w14:paraId="290F88E2">
      <w:pPr>
        <w:spacing w:line="360" w:lineRule="auto"/>
        <w:ind w:firstLine="420" w:firstLineChars="200"/>
        <w:rPr>
          <w:rFonts w:ascii="宋体" w:hAnsi="宋体" w:eastAsia="宋体"/>
          <w:color w:val="auto"/>
          <w:highlight w:val="none"/>
        </w:rPr>
      </w:pPr>
      <w:r>
        <w:rPr>
          <w:rFonts w:ascii="宋体" w:hAnsi="宋体" w:eastAsia="宋体"/>
          <w:color w:val="auto"/>
          <w:highlight w:val="none"/>
        </w:rPr>
        <w:t>6.3.1评标委员会按照第三章“评标办法”规定的方法、评审因素、标准和程序对投标文件进行评审。第三章“评标办法”没有规定的方法、评审因素和标准，不作为评标依据。</w:t>
      </w:r>
    </w:p>
    <w:p w14:paraId="74E2340A">
      <w:pPr>
        <w:spacing w:line="360" w:lineRule="auto"/>
        <w:ind w:firstLine="420" w:firstLineChars="200"/>
        <w:rPr>
          <w:rFonts w:ascii="宋体" w:hAnsi="宋体" w:eastAsia="宋体"/>
          <w:color w:val="auto"/>
          <w:highlight w:val="none"/>
        </w:rPr>
      </w:pPr>
      <w:r>
        <w:rPr>
          <w:rFonts w:ascii="宋体" w:hAnsi="宋体" w:eastAsia="宋体"/>
          <w:color w:val="auto"/>
          <w:highlight w:val="none"/>
        </w:rPr>
        <w:t>6.3.2评标完成后，评标委员会应当向招标人提交书面评标报告和中标候选人名单。评标委员会推荐中标候选人的人数见投标人须知前附表。</w:t>
      </w:r>
    </w:p>
    <w:p w14:paraId="2CF6B665">
      <w:pPr>
        <w:pStyle w:val="3"/>
        <w:rPr>
          <w:color w:val="auto"/>
          <w:highlight w:val="none"/>
        </w:rPr>
      </w:pPr>
      <w:bookmarkStart w:id="217" w:name="_Toc28789"/>
      <w:bookmarkStart w:id="218" w:name="_Toc138236361"/>
      <w:r>
        <w:rPr>
          <w:color w:val="auto"/>
          <w:highlight w:val="none"/>
        </w:rPr>
        <w:t>7.合同授予</w:t>
      </w:r>
      <w:bookmarkEnd w:id="217"/>
      <w:bookmarkEnd w:id="218"/>
    </w:p>
    <w:p w14:paraId="6D241ABC">
      <w:pPr>
        <w:pStyle w:val="4"/>
        <w:spacing w:after="283" w:line="416" w:lineRule="auto"/>
        <w:ind w:left="132" w:firstLine="0" w:firstLineChars="0"/>
        <w:rPr>
          <w:rFonts w:ascii="宋体" w:hAnsi="宋体" w:eastAsia="宋体"/>
          <w:color w:val="auto"/>
          <w:highlight w:val="none"/>
        </w:rPr>
      </w:pPr>
      <w:bookmarkStart w:id="219" w:name="_Toc133420508"/>
      <w:bookmarkStart w:id="220" w:name="_Toc45266434"/>
      <w:bookmarkStart w:id="221" w:name="_Toc36466602"/>
      <w:bookmarkStart w:id="222" w:name="_Toc9698"/>
      <w:bookmarkStart w:id="223" w:name="_Toc51055752"/>
      <w:bookmarkStart w:id="224" w:name="_Toc138236362"/>
      <w:r>
        <w:rPr>
          <w:rFonts w:ascii="宋体" w:hAnsi="宋体" w:eastAsia="宋体"/>
          <w:color w:val="auto"/>
          <w:highlight w:val="none"/>
        </w:rPr>
        <w:t>7.1中标候选人公示</w:t>
      </w:r>
      <w:bookmarkEnd w:id="219"/>
      <w:bookmarkEnd w:id="220"/>
      <w:bookmarkEnd w:id="221"/>
      <w:bookmarkEnd w:id="222"/>
      <w:bookmarkEnd w:id="223"/>
      <w:bookmarkEnd w:id="224"/>
    </w:p>
    <w:p w14:paraId="05057074">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招标人在收到评标报告之日起</w:t>
      </w:r>
      <w:r>
        <w:rPr>
          <w:rFonts w:ascii="宋体" w:hAnsi="宋体" w:eastAsia="宋体"/>
          <w:color w:val="auto"/>
          <w:highlight w:val="none"/>
        </w:rPr>
        <w:t>3日内，按照投标人须知前附表规定的公示媒介和期限公示中标候选人，公示期不得少于3天。</w:t>
      </w:r>
    </w:p>
    <w:p w14:paraId="247C5F91">
      <w:pPr>
        <w:pStyle w:val="4"/>
        <w:spacing w:after="283" w:line="416" w:lineRule="auto"/>
        <w:ind w:left="132" w:firstLine="0" w:firstLineChars="0"/>
        <w:rPr>
          <w:rFonts w:ascii="宋体" w:hAnsi="宋体" w:eastAsia="宋体"/>
          <w:color w:val="auto"/>
          <w:highlight w:val="none"/>
        </w:rPr>
      </w:pPr>
      <w:bookmarkStart w:id="225" w:name="_Toc45266435"/>
      <w:bookmarkStart w:id="226" w:name="_Toc36466603"/>
      <w:bookmarkStart w:id="227" w:name="_Toc133420509"/>
      <w:bookmarkStart w:id="228" w:name="_Toc16253"/>
      <w:bookmarkStart w:id="229" w:name="_Toc138236363"/>
      <w:bookmarkStart w:id="230" w:name="_Toc51055753"/>
      <w:r>
        <w:rPr>
          <w:rFonts w:ascii="宋体" w:hAnsi="宋体" w:eastAsia="宋体"/>
          <w:color w:val="auto"/>
          <w:highlight w:val="none"/>
        </w:rPr>
        <w:t>7.2评标结果异议</w:t>
      </w:r>
      <w:bookmarkEnd w:id="225"/>
      <w:bookmarkEnd w:id="226"/>
      <w:bookmarkEnd w:id="227"/>
      <w:bookmarkEnd w:id="228"/>
      <w:bookmarkEnd w:id="229"/>
      <w:bookmarkEnd w:id="230"/>
    </w:p>
    <w:p w14:paraId="7195B781">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投标人或者其他利害关系人对评标结果有异议的，应当在中标候选人公示期间提出。招标人将在收到异议之日起</w:t>
      </w:r>
      <w:r>
        <w:rPr>
          <w:rFonts w:ascii="宋体" w:hAnsi="宋体" w:eastAsia="宋体"/>
          <w:color w:val="auto"/>
          <w:highlight w:val="none"/>
        </w:rPr>
        <w:t>3日内</w:t>
      </w:r>
      <w:r>
        <w:rPr>
          <w:rFonts w:hint="eastAsia" w:ascii="宋体" w:hAnsi="宋体" w:eastAsia="宋体"/>
          <w:color w:val="auto"/>
          <w:highlight w:val="none"/>
        </w:rPr>
        <w:t>作出答复；作出答复前，将暂停招标投标活动。</w:t>
      </w:r>
    </w:p>
    <w:p w14:paraId="0D34B41F">
      <w:pPr>
        <w:pStyle w:val="4"/>
        <w:spacing w:after="283" w:line="416" w:lineRule="auto"/>
        <w:ind w:left="132" w:firstLine="0" w:firstLineChars="0"/>
        <w:rPr>
          <w:rFonts w:ascii="宋体" w:hAnsi="宋体" w:eastAsia="宋体"/>
          <w:color w:val="auto"/>
          <w:highlight w:val="none"/>
        </w:rPr>
      </w:pPr>
      <w:bookmarkStart w:id="231" w:name="_Toc51055754"/>
      <w:bookmarkStart w:id="232" w:name="_Toc20404"/>
      <w:bookmarkStart w:id="233" w:name="_Toc36466604"/>
      <w:bookmarkStart w:id="234" w:name="_Toc138236364"/>
      <w:bookmarkStart w:id="235" w:name="_Toc45266436"/>
      <w:bookmarkStart w:id="236" w:name="_Toc133420510"/>
      <w:r>
        <w:rPr>
          <w:rFonts w:ascii="宋体" w:hAnsi="宋体" w:eastAsia="宋体"/>
          <w:color w:val="auto"/>
          <w:highlight w:val="none"/>
        </w:rPr>
        <w:t>7.3中标候选人履约能力审查</w:t>
      </w:r>
      <w:bookmarkEnd w:id="231"/>
      <w:bookmarkEnd w:id="232"/>
      <w:bookmarkEnd w:id="233"/>
      <w:bookmarkEnd w:id="234"/>
      <w:bookmarkEnd w:id="235"/>
      <w:bookmarkEnd w:id="236"/>
    </w:p>
    <w:p w14:paraId="24A03B2A">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中标候选人的经营、财务状况发生较大变化或存在违法行为，招标人认为可能影响其履约能力的，将在发出中标通知书前提请原评标委员会按照招标文件规定的标准和方法进行审查确认。</w:t>
      </w:r>
    </w:p>
    <w:p w14:paraId="2E1B53FB">
      <w:pPr>
        <w:pStyle w:val="4"/>
        <w:spacing w:after="283" w:line="416" w:lineRule="auto"/>
        <w:ind w:left="132" w:firstLine="0" w:firstLineChars="0"/>
        <w:rPr>
          <w:rFonts w:ascii="宋体" w:hAnsi="宋体" w:eastAsia="宋体"/>
          <w:color w:val="auto"/>
          <w:highlight w:val="none"/>
        </w:rPr>
      </w:pPr>
      <w:bookmarkStart w:id="237" w:name="_Toc45266437"/>
      <w:bookmarkStart w:id="238" w:name="_Toc10217"/>
      <w:bookmarkStart w:id="239" w:name="_Toc51055755"/>
      <w:bookmarkStart w:id="240" w:name="_Toc133420511"/>
      <w:bookmarkStart w:id="241" w:name="_Toc36466605"/>
      <w:bookmarkStart w:id="242" w:name="_Toc138236365"/>
      <w:r>
        <w:rPr>
          <w:rFonts w:ascii="宋体" w:hAnsi="宋体" w:eastAsia="宋体"/>
          <w:color w:val="auto"/>
          <w:highlight w:val="none"/>
        </w:rPr>
        <w:t>7.4定标</w:t>
      </w:r>
      <w:bookmarkEnd w:id="237"/>
      <w:bookmarkEnd w:id="238"/>
      <w:bookmarkEnd w:id="239"/>
      <w:bookmarkEnd w:id="240"/>
      <w:bookmarkEnd w:id="241"/>
      <w:bookmarkEnd w:id="242"/>
    </w:p>
    <w:p w14:paraId="1D26B25E">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按照投标人须知前附表的规定，招标人或招标人授权的评标委员会依法确定中标人。</w:t>
      </w:r>
    </w:p>
    <w:p w14:paraId="4A5899C5">
      <w:pPr>
        <w:pStyle w:val="4"/>
        <w:spacing w:after="283" w:line="416" w:lineRule="auto"/>
        <w:ind w:left="132" w:firstLine="0" w:firstLineChars="0"/>
        <w:rPr>
          <w:rFonts w:ascii="宋体" w:hAnsi="宋体" w:eastAsia="宋体"/>
          <w:color w:val="auto"/>
          <w:highlight w:val="none"/>
        </w:rPr>
      </w:pPr>
      <w:bookmarkStart w:id="243" w:name="_Toc25834"/>
      <w:bookmarkStart w:id="244" w:name="_Toc133420512"/>
      <w:bookmarkStart w:id="245" w:name="_Toc138236366"/>
      <w:bookmarkStart w:id="246" w:name="_Toc51055756"/>
      <w:bookmarkStart w:id="247" w:name="_Toc45266438"/>
      <w:bookmarkStart w:id="248" w:name="_Toc36466606"/>
      <w:r>
        <w:rPr>
          <w:rFonts w:ascii="宋体" w:hAnsi="宋体" w:eastAsia="宋体"/>
          <w:color w:val="auto"/>
          <w:highlight w:val="none"/>
        </w:rPr>
        <w:t>7.5中标通知</w:t>
      </w:r>
      <w:bookmarkEnd w:id="243"/>
      <w:bookmarkEnd w:id="244"/>
      <w:bookmarkEnd w:id="245"/>
      <w:bookmarkEnd w:id="246"/>
      <w:bookmarkEnd w:id="247"/>
      <w:bookmarkEnd w:id="248"/>
    </w:p>
    <w:p w14:paraId="3E27C073">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在本章第</w:t>
      </w:r>
      <w:r>
        <w:rPr>
          <w:rFonts w:ascii="宋体" w:hAnsi="宋体" w:eastAsia="宋体"/>
          <w:color w:val="auto"/>
          <w:highlight w:val="none"/>
        </w:rPr>
        <w:t xml:space="preserve">3.3 </w:t>
      </w:r>
      <w:r>
        <w:rPr>
          <w:rFonts w:hint="eastAsia" w:ascii="宋体" w:hAnsi="宋体" w:eastAsia="宋体"/>
          <w:color w:val="auto"/>
          <w:highlight w:val="none"/>
        </w:rPr>
        <w:t>款规定的投标有效期内，招标人以书面形式向中标人发出中标通知书，同时将中标结果通知未中标的投标人。</w:t>
      </w:r>
    </w:p>
    <w:p w14:paraId="4C991BCB">
      <w:pPr>
        <w:pStyle w:val="4"/>
        <w:spacing w:after="283" w:line="416" w:lineRule="auto"/>
        <w:ind w:left="132" w:firstLine="0" w:firstLineChars="0"/>
        <w:rPr>
          <w:rFonts w:ascii="宋体" w:hAnsi="宋体" w:eastAsia="宋体"/>
          <w:color w:val="auto"/>
          <w:highlight w:val="none"/>
        </w:rPr>
      </w:pPr>
      <w:bookmarkStart w:id="249" w:name="_Toc45266440"/>
      <w:bookmarkStart w:id="250" w:name="_Toc31860"/>
      <w:bookmarkStart w:id="251" w:name="_Toc51055758"/>
      <w:bookmarkStart w:id="252" w:name="_Toc133420514"/>
      <w:bookmarkStart w:id="253" w:name="_Toc36466608"/>
      <w:bookmarkStart w:id="254" w:name="_Toc138236368"/>
      <w:r>
        <w:rPr>
          <w:rFonts w:ascii="宋体" w:hAnsi="宋体" w:eastAsia="宋体"/>
          <w:color w:val="auto"/>
          <w:highlight w:val="none"/>
        </w:rPr>
        <w:t>7.6签订合同</w:t>
      </w:r>
      <w:bookmarkEnd w:id="249"/>
      <w:bookmarkEnd w:id="250"/>
      <w:bookmarkEnd w:id="251"/>
      <w:bookmarkEnd w:id="252"/>
      <w:bookmarkEnd w:id="253"/>
      <w:bookmarkEnd w:id="254"/>
    </w:p>
    <w:p w14:paraId="73AE2396">
      <w:pPr>
        <w:spacing w:line="360" w:lineRule="auto"/>
        <w:ind w:firstLine="420" w:firstLineChars="200"/>
        <w:rPr>
          <w:rFonts w:ascii="宋体" w:hAnsi="宋体" w:eastAsia="宋体"/>
          <w:color w:val="auto"/>
          <w:highlight w:val="none"/>
        </w:rPr>
      </w:pPr>
      <w:r>
        <w:rPr>
          <w:rFonts w:ascii="宋体" w:hAnsi="宋体" w:eastAsia="宋体"/>
          <w:color w:val="auto"/>
          <w:highlight w:val="none"/>
        </w:rPr>
        <w:t>7.6.1招标人和中标人应当在中标通知书发出之日起30日内，根据招标文件和中标人的投标文件订立书面合同。中标人无正当理由拒签合同，在签订合同时向招标人提出附加条件，招标人有权取消其中标资格。</w:t>
      </w:r>
    </w:p>
    <w:p w14:paraId="03186B7C">
      <w:pPr>
        <w:spacing w:line="360" w:lineRule="auto"/>
        <w:ind w:firstLine="420" w:firstLineChars="200"/>
        <w:rPr>
          <w:rFonts w:ascii="宋体" w:hAnsi="宋体" w:eastAsia="宋体"/>
          <w:color w:val="auto"/>
          <w:highlight w:val="none"/>
        </w:rPr>
      </w:pPr>
      <w:r>
        <w:rPr>
          <w:rFonts w:ascii="宋体" w:hAnsi="宋体" w:eastAsia="宋体"/>
          <w:color w:val="auto"/>
          <w:highlight w:val="none"/>
        </w:rPr>
        <w:t>7.6.2发出中标通知书后，招标人无正当理由拒签合同，或者在签订合同时向中标人提出附加条件的，给中标人造成损失的，还应当赔偿损失。</w:t>
      </w:r>
    </w:p>
    <w:p w14:paraId="79BFD711">
      <w:pPr>
        <w:spacing w:line="360" w:lineRule="auto"/>
        <w:ind w:firstLine="420" w:firstLineChars="200"/>
        <w:rPr>
          <w:rFonts w:ascii="宋体" w:hAnsi="宋体" w:eastAsia="宋体"/>
          <w:color w:val="auto"/>
          <w:highlight w:val="none"/>
        </w:rPr>
      </w:pPr>
      <w:r>
        <w:rPr>
          <w:rFonts w:ascii="宋体" w:hAnsi="宋体" w:eastAsia="宋体"/>
          <w:color w:val="auto"/>
          <w:highlight w:val="none"/>
        </w:rPr>
        <w:t>7.6.3联合体中标的，联合体各方应当共同与招标人签订合同，就中标项目向招标人承担连带责任。</w:t>
      </w:r>
    </w:p>
    <w:p w14:paraId="6C3CB85C">
      <w:pPr>
        <w:pStyle w:val="3"/>
        <w:rPr>
          <w:color w:val="auto"/>
          <w:highlight w:val="none"/>
        </w:rPr>
      </w:pPr>
      <w:bookmarkStart w:id="255" w:name="_Toc11233"/>
      <w:bookmarkStart w:id="256" w:name="_Toc138236369"/>
      <w:r>
        <w:rPr>
          <w:color w:val="auto"/>
          <w:highlight w:val="none"/>
        </w:rPr>
        <w:t>8.纪律和监督</w:t>
      </w:r>
      <w:bookmarkEnd w:id="255"/>
      <w:bookmarkEnd w:id="256"/>
    </w:p>
    <w:p w14:paraId="14092221">
      <w:pPr>
        <w:pStyle w:val="4"/>
        <w:spacing w:after="283" w:line="416" w:lineRule="auto"/>
        <w:ind w:left="132" w:firstLine="0" w:firstLineChars="0"/>
        <w:rPr>
          <w:rFonts w:ascii="宋体" w:hAnsi="宋体" w:eastAsia="宋体"/>
          <w:color w:val="auto"/>
          <w:highlight w:val="none"/>
        </w:rPr>
      </w:pPr>
      <w:bookmarkStart w:id="257" w:name="_Toc133420516"/>
      <w:bookmarkStart w:id="258" w:name="_Toc45266442"/>
      <w:bookmarkStart w:id="259" w:name="_Toc138236370"/>
      <w:bookmarkStart w:id="260" w:name="_Toc22124"/>
      <w:bookmarkStart w:id="261" w:name="_Toc51055760"/>
      <w:bookmarkStart w:id="262" w:name="_Toc36466610"/>
      <w:r>
        <w:rPr>
          <w:rFonts w:ascii="宋体" w:hAnsi="宋体" w:eastAsia="宋体"/>
          <w:color w:val="auto"/>
          <w:highlight w:val="none"/>
        </w:rPr>
        <w:t>8.1对招标人的纪律要求</w:t>
      </w:r>
      <w:bookmarkEnd w:id="257"/>
      <w:bookmarkEnd w:id="258"/>
      <w:bookmarkEnd w:id="259"/>
      <w:bookmarkEnd w:id="260"/>
      <w:bookmarkEnd w:id="261"/>
      <w:bookmarkEnd w:id="262"/>
    </w:p>
    <w:p w14:paraId="590E97CD">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招标人不得泄露招标投标活动中应当保密的情况和资料，不得与投标人串通损害国家利益、社会公共利益或者他人合法权益。</w:t>
      </w:r>
    </w:p>
    <w:p w14:paraId="741F4EE5">
      <w:pPr>
        <w:pStyle w:val="4"/>
        <w:spacing w:after="283" w:line="416" w:lineRule="auto"/>
        <w:ind w:left="132" w:firstLine="0" w:firstLineChars="0"/>
        <w:rPr>
          <w:rFonts w:ascii="宋体" w:hAnsi="宋体" w:eastAsia="宋体"/>
          <w:color w:val="auto"/>
          <w:highlight w:val="none"/>
        </w:rPr>
      </w:pPr>
      <w:bookmarkStart w:id="263" w:name="_Toc36466611"/>
      <w:bookmarkStart w:id="264" w:name="_Toc45266443"/>
      <w:bookmarkStart w:id="265" w:name="_Toc51055761"/>
      <w:bookmarkStart w:id="266" w:name="_Toc138236371"/>
      <w:bookmarkStart w:id="267" w:name="_Toc133420517"/>
      <w:bookmarkStart w:id="268" w:name="_Toc7045"/>
      <w:r>
        <w:rPr>
          <w:rFonts w:ascii="宋体" w:hAnsi="宋体" w:eastAsia="宋体"/>
          <w:color w:val="auto"/>
          <w:highlight w:val="none"/>
        </w:rPr>
        <w:t>8.2对投标人的纪律要求</w:t>
      </w:r>
      <w:bookmarkEnd w:id="263"/>
      <w:bookmarkEnd w:id="264"/>
      <w:bookmarkEnd w:id="265"/>
      <w:bookmarkEnd w:id="266"/>
      <w:bookmarkEnd w:id="267"/>
      <w:bookmarkEnd w:id="268"/>
    </w:p>
    <w:p w14:paraId="1A63D3A0">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106A06FF">
      <w:pPr>
        <w:pStyle w:val="4"/>
        <w:spacing w:after="283" w:line="416" w:lineRule="auto"/>
        <w:ind w:left="132" w:firstLine="0" w:firstLineChars="0"/>
        <w:rPr>
          <w:rFonts w:ascii="宋体" w:hAnsi="宋体" w:eastAsia="宋体"/>
          <w:color w:val="auto"/>
          <w:highlight w:val="none"/>
        </w:rPr>
      </w:pPr>
      <w:bookmarkStart w:id="269" w:name="_Toc36466612"/>
      <w:bookmarkStart w:id="270" w:name="_Toc28795"/>
      <w:bookmarkStart w:id="271" w:name="_Toc133420518"/>
      <w:bookmarkStart w:id="272" w:name="_Toc138236372"/>
      <w:bookmarkStart w:id="273" w:name="_Toc51055762"/>
      <w:bookmarkStart w:id="274" w:name="_Toc45266444"/>
      <w:r>
        <w:rPr>
          <w:rFonts w:ascii="宋体" w:hAnsi="宋体" w:eastAsia="宋体"/>
          <w:color w:val="auto"/>
          <w:highlight w:val="none"/>
        </w:rPr>
        <w:t>8.3对评标委员会成员的纪律要求</w:t>
      </w:r>
      <w:bookmarkEnd w:id="269"/>
      <w:bookmarkEnd w:id="270"/>
      <w:bookmarkEnd w:id="271"/>
      <w:bookmarkEnd w:id="272"/>
      <w:bookmarkEnd w:id="273"/>
      <w:bookmarkEnd w:id="274"/>
    </w:p>
    <w:p w14:paraId="1A5E5B36">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评标委员会成员不得收受他人的财物或者其他好处，不得向他人透露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18D43734">
      <w:pPr>
        <w:pStyle w:val="4"/>
        <w:spacing w:after="283" w:line="416" w:lineRule="auto"/>
        <w:ind w:left="132" w:firstLine="0" w:firstLineChars="0"/>
        <w:rPr>
          <w:rFonts w:ascii="宋体" w:hAnsi="宋体" w:eastAsia="宋体"/>
          <w:color w:val="auto"/>
          <w:highlight w:val="none"/>
        </w:rPr>
      </w:pPr>
      <w:bookmarkStart w:id="275" w:name="_Toc138236373"/>
      <w:bookmarkStart w:id="276" w:name="_Toc28034"/>
      <w:r>
        <w:rPr>
          <w:rFonts w:ascii="宋体" w:hAnsi="宋体" w:eastAsia="宋体"/>
          <w:color w:val="auto"/>
          <w:highlight w:val="none"/>
        </w:rPr>
        <w:t>8.4对与评标活动有关的工作人员的纪律要求</w:t>
      </w:r>
      <w:bookmarkEnd w:id="275"/>
      <w:bookmarkEnd w:id="276"/>
    </w:p>
    <w:p w14:paraId="3F5DC4D4">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与评标活动有关的工作人员不得收受他人的财物或者其他好处，不得向他人透露对投标文</w:t>
      </w:r>
      <w:r>
        <w:rPr>
          <w:rFonts w:ascii="宋体" w:hAnsi="宋体" w:eastAsia="宋体"/>
          <w:color w:val="auto"/>
          <w:highlight w:val="none"/>
        </w:rPr>
        <w:t xml:space="preserve"> </w:t>
      </w:r>
      <w:r>
        <w:rPr>
          <w:rFonts w:hint="eastAsia" w:ascii="宋体" w:hAnsi="宋体" w:eastAsia="宋体"/>
          <w:color w:val="auto"/>
          <w:highlight w:val="none"/>
        </w:rPr>
        <w:t>件的评审和比较、中标候选人的推荐情况以及评标有关的其他情况。在评标活动中，与评标活动有关的工作人员不得擅离职守，影响评标程序正常进行。</w:t>
      </w:r>
    </w:p>
    <w:p w14:paraId="2DF3FF64">
      <w:pPr>
        <w:pStyle w:val="4"/>
        <w:spacing w:after="283" w:line="416" w:lineRule="auto"/>
        <w:ind w:left="132" w:firstLine="0" w:firstLineChars="0"/>
        <w:rPr>
          <w:rFonts w:ascii="宋体" w:hAnsi="宋体" w:eastAsia="宋体"/>
          <w:color w:val="auto"/>
          <w:highlight w:val="none"/>
        </w:rPr>
      </w:pPr>
      <w:bookmarkStart w:id="277" w:name="_Toc45266445"/>
      <w:bookmarkStart w:id="278" w:name="_Toc2212"/>
      <w:bookmarkStart w:id="279" w:name="_Toc51055763"/>
      <w:bookmarkStart w:id="280" w:name="_Toc36466613"/>
      <w:bookmarkStart w:id="281" w:name="_Toc133420519"/>
      <w:bookmarkStart w:id="282" w:name="_Toc138236374"/>
      <w:r>
        <w:rPr>
          <w:rFonts w:ascii="宋体" w:hAnsi="宋体" w:eastAsia="宋体"/>
          <w:color w:val="auto"/>
          <w:highlight w:val="none"/>
        </w:rPr>
        <w:t>8.5投诉</w:t>
      </w:r>
      <w:bookmarkEnd w:id="277"/>
      <w:bookmarkEnd w:id="278"/>
      <w:bookmarkEnd w:id="279"/>
      <w:bookmarkEnd w:id="280"/>
      <w:bookmarkEnd w:id="281"/>
      <w:bookmarkEnd w:id="282"/>
    </w:p>
    <w:p w14:paraId="0CAEB55D">
      <w:pPr>
        <w:spacing w:line="360" w:lineRule="auto"/>
        <w:ind w:firstLine="420" w:firstLineChars="200"/>
        <w:rPr>
          <w:rFonts w:ascii="宋体" w:hAnsi="宋体" w:eastAsia="宋体"/>
          <w:color w:val="auto"/>
          <w:highlight w:val="none"/>
        </w:rPr>
      </w:pPr>
      <w:r>
        <w:rPr>
          <w:rFonts w:ascii="宋体" w:hAnsi="宋体" w:eastAsia="宋体"/>
          <w:color w:val="auto"/>
          <w:highlight w:val="none"/>
        </w:rPr>
        <w:t>8.5.1投标人或者其他利害关系人认为招标投标活动不符合法律、行政法规规定的，可以自知道或者应当知道之日起10日内向有关行政监督部门投诉。投诉应当有明确的请求和必要的证明材料。</w:t>
      </w:r>
    </w:p>
    <w:p w14:paraId="505AD5F4">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8.5.2投标人或者其他利害关系人对招标文件、开标和评标结果提出投诉的，应当按照投标人须知第2.4款、第 5.3 </w:t>
      </w:r>
      <w:r>
        <w:rPr>
          <w:rFonts w:hint="eastAsia" w:ascii="宋体" w:hAnsi="宋体" w:eastAsia="宋体"/>
          <w:color w:val="auto"/>
          <w:highlight w:val="none"/>
        </w:rPr>
        <w:t>款和第</w:t>
      </w:r>
      <w:r>
        <w:rPr>
          <w:rFonts w:ascii="宋体" w:hAnsi="宋体" w:eastAsia="宋体"/>
          <w:color w:val="auto"/>
          <w:highlight w:val="none"/>
        </w:rPr>
        <w:t xml:space="preserve"> 7.2 </w:t>
      </w:r>
      <w:r>
        <w:rPr>
          <w:rFonts w:hint="eastAsia" w:ascii="宋体" w:hAnsi="宋体" w:eastAsia="宋体"/>
          <w:color w:val="auto"/>
          <w:highlight w:val="none"/>
        </w:rPr>
        <w:t>款的规定先向招标人提出异议。异议答复期间不计算在第</w:t>
      </w:r>
      <w:r>
        <w:rPr>
          <w:rFonts w:ascii="宋体" w:hAnsi="宋体" w:eastAsia="宋体"/>
          <w:color w:val="auto"/>
          <w:highlight w:val="none"/>
        </w:rPr>
        <w:t xml:space="preserve"> 8.5.1项规定的期限内。</w:t>
      </w:r>
    </w:p>
    <w:p w14:paraId="53E0769F">
      <w:pPr>
        <w:pStyle w:val="3"/>
        <w:rPr>
          <w:color w:val="auto"/>
          <w:highlight w:val="none"/>
        </w:rPr>
      </w:pPr>
      <w:bookmarkStart w:id="283" w:name="_Toc45266446"/>
      <w:bookmarkStart w:id="284" w:name="_Toc11981"/>
      <w:bookmarkStart w:id="285" w:name="_Toc36466614"/>
      <w:bookmarkStart w:id="286" w:name="_Toc138236375"/>
      <w:bookmarkStart w:id="287" w:name="_Toc51055764"/>
      <w:r>
        <w:rPr>
          <w:color w:val="auto"/>
          <w:highlight w:val="none"/>
        </w:rPr>
        <w:t xml:space="preserve">9. </w:t>
      </w:r>
      <w:r>
        <w:rPr>
          <w:rFonts w:hint="eastAsia"/>
          <w:color w:val="auto"/>
          <w:highlight w:val="none"/>
        </w:rPr>
        <w:t>是否采用电子招标投标</w:t>
      </w:r>
      <w:bookmarkEnd w:id="283"/>
      <w:bookmarkEnd w:id="284"/>
      <w:bookmarkEnd w:id="285"/>
      <w:bookmarkEnd w:id="286"/>
      <w:bookmarkEnd w:id="287"/>
    </w:p>
    <w:p w14:paraId="2FBC1E8E">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本招标项目是否采用电子招标投标方式，见投标人须知前附表。</w:t>
      </w:r>
    </w:p>
    <w:p w14:paraId="53E98261">
      <w:pPr>
        <w:pStyle w:val="3"/>
        <w:rPr>
          <w:color w:val="auto"/>
          <w:highlight w:val="none"/>
        </w:rPr>
      </w:pPr>
      <w:bookmarkStart w:id="288" w:name="_Toc45266447"/>
      <w:bookmarkStart w:id="289" w:name="_Toc2839"/>
      <w:bookmarkStart w:id="290" w:name="_Toc51055765"/>
      <w:bookmarkStart w:id="291" w:name="_Toc138236376"/>
      <w:bookmarkStart w:id="292" w:name="_Toc36466615"/>
      <w:r>
        <w:rPr>
          <w:color w:val="auto"/>
          <w:highlight w:val="none"/>
        </w:rPr>
        <w:t xml:space="preserve">10. </w:t>
      </w:r>
      <w:r>
        <w:rPr>
          <w:rFonts w:hint="eastAsia"/>
          <w:color w:val="auto"/>
          <w:highlight w:val="none"/>
        </w:rPr>
        <w:t>需要补充的其他内容</w:t>
      </w:r>
      <w:bookmarkEnd w:id="288"/>
      <w:bookmarkEnd w:id="289"/>
      <w:bookmarkEnd w:id="290"/>
      <w:bookmarkEnd w:id="291"/>
      <w:bookmarkEnd w:id="292"/>
    </w:p>
    <w:p w14:paraId="0DA71DB3">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需要补充的其他内容：见投标人须知前附表。</w:t>
      </w:r>
    </w:p>
    <w:p w14:paraId="1B2F9FC8">
      <w:pPr>
        <w:widowControl/>
        <w:spacing w:line="240" w:lineRule="auto"/>
        <w:rPr>
          <w:color w:val="auto"/>
          <w:highlight w:val="none"/>
        </w:rPr>
      </w:pPr>
      <w:r>
        <w:rPr>
          <w:rFonts w:ascii="宋体" w:hAnsi="宋体" w:eastAsia="宋体"/>
          <w:color w:val="auto"/>
          <w:highlight w:val="none"/>
        </w:rPr>
        <w:br w:type="page"/>
      </w:r>
      <w:bookmarkStart w:id="293" w:name="_Toc144974511"/>
      <w:bookmarkEnd w:id="293"/>
      <w:bookmarkStart w:id="294" w:name="_Toc247513967"/>
      <w:bookmarkEnd w:id="294"/>
      <w:bookmarkStart w:id="295" w:name="_Toc361508599"/>
      <w:bookmarkEnd w:id="295"/>
      <w:bookmarkStart w:id="296" w:name="_Toc152042319"/>
      <w:bookmarkEnd w:id="296"/>
      <w:bookmarkStart w:id="297" w:name="_Toc247527568"/>
      <w:bookmarkEnd w:id="297"/>
      <w:bookmarkStart w:id="298" w:name="_Toc152045543"/>
      <w:bookmarkEnd w:id="298"/>
      <w:bookmarkStart w:id="299" w:name="_Toc352691487"/>
      <w:bookmarkEnd w:id="299"/>
      <w:bookmarkStart w:id="300" w:name="_Toc369531530"/>
      <w:bookmarkEnd w:id="300"/>
      <w:bookmarkStart w:id="301" w:name="_Toc384308224"/>
      <w:bookmarkEnd w:id="301"/>
      <w:bookmarkStart w:id="302" w:name="_Toc300834964"/>
      <w:bookmarkEnd w:id="302"/>
      <w:bookmarkStart w:id="303" w:name="_Toc15242"/>
      <w:bookmarkEnd w:id="303"/>
      <w:bookmarkStart w:id="304" w:name="_Toc138236377"/>
      <w:bookmarkStart w:id="305" w:name="_Toc51055766"/>
      <w:bookmarkStart w:id="306" w:name="_Toc45266448"/>
      <w:r>
        <w:rPr>
          <w:rFonts w:hint="eastAsia"/>
          <w:color w:val="auto"/>
          <w:highlight w:val="none"/>
        </w:rPr>
        <w:t>附件一：开标记录表</w:t>
      </w:r>
      <w:bookmarkEnd w:id="304"/>
      <w:bookmarkEnd w:id="305"/>
      <w:bookmarkEnd w:id="306"/>
    </w:p>
    <w:p w14:paraId="7498CBBE">
      <w:pPr>
        <w:spacing w:line="440" w:lineRule="exact"/>
        <w:jc w:val="center"/>
        <w:rPr>
          <w:rFonts w:ascii="宋体" w:hAnsi="宋体" w:eastAsia="宋体"/>
          <w:color w:val="auto"/>
          <w:sz w:val="28"/>
          <w:szCs w:val="28"/>
          <w:highlight w:val="none"/>
        </w:rPr>
      </w:pPr>
      <w:r>
        <w:rPr>
          <w:rFonts w:hint="eastAsia" w:ascii="宋体" w:hAnsi="宋体" w:eastAsia="宋体"/>
          <w:color w:val="auto"/>
          <w:sz w:val="28"/>
          <w:szCs w:val="28"/>
          <w:highlight w:val="none"/>
        </w:rPr>
        <w:t>开标记录表</w:t>
      </w:r>
    </w:p>
    <w:p w14:paraId="5068734C">
      <w:pPr>
        <w:spacing w:before="120" w:beforeLines="50" w:after="120" w:afterLines="50" w:line="400" w:lineRule="exact"/>
        <w:ind w:right="420"/>
        <w:jc w:val="left"/>
        <w:rPr>
          <w:rFonts w:ascii="宋体" w:hAnsi="宋体" w:eastAsia="宋体"/>
          <w:color w:val="auto"/>
          <w:highlight w:val="none"/>
        </w:rPr>
      </w:pPr>
      <w:r>
        <w:rPr>
          <w:rFonts w:hint="eastAsia" w:ascii="宋体" w:hAnsi="宋体" w:eastAsia="宋体"/>
          <w:color w:val="auto"/>
          <w:highlight w:val="none"/>
        </w:rPr>
        <w:t>开标时间：</w:t>
      </w:r>
      <w:r>
        <w:rPr>
          <w:rFonts w:ascii="宋体" w:hAnsi="宋体" w:eastAsia="宋体"/>
          <w:color w:val="auto"/>
          <w:highlight w:val="none"/>
        </w:rPr>
        <w:t xml:space="preserve">         </w:t>
      </w:r>
      <w:r>
        <w:rPr>
          <w:rFonts w:hint="eastAsia" w:ascii="宋体" w:hAnsi="宋体" w:eastAsia="宋体"/>
          <w:color w:val="auto"/>
          <w:highlight w:val="none"/>
        </w:rPr>
        <w:t>年</w:t>
      </w:r>
      <w:r>
        <w:rPr>
          <w:rFonts w:ascii="宋体" w:hAnsi="宋体" w:eastAsia="宋体"/>
          <w:color w:val="auto"/>
          <w:highlight w:val="none"/>
        </w:rPr>
        <w:t xml:space="preserve">         </w:t>
      </w:r>
      <w:r>
        <w:rPr>
          <w:rFonts w:hint="eastAsia" w:ascii="宋体" w:hAnsi="宋体" w:eastAsia="宋体"/>
          <w:color w:val="auto"/>
          <w:highlight w:val="none"/>
        </w:rPr>
        <w:t>月</w:t>
      </w:r>
      <w:r>
        <w:rPr>
          <w:rFonts w:ascii="宋体" w:hAnsi="宋体" w:eastAsia="宋体"/>
          <w:color w:val="auto"/>
          <w:highlight w:val="none"/>
        </w:rPr>
        <w:t xml:space="preserve">         </w:t>
      </w:r>
      <w:r>
        <w:rPr>
          <w:rFonts w:hint="eastAsia" w:ascii="宋体" w:hAnsi="宋体" w:eastAsia="宋体"/>
          <w:color w:val="auto"/>
          <w:highlight w:val="none"/>
        </w:rPr>
        <w:t>日</w:t>
      </w:r>
      <w:r>
        <w:rPr>
          <w:rFonts w:ascii="宋体" w:hAnsi="宋体" w:eastAsia="宋体"/>
          <w:color w:val="auto"/>
          <w:highlight w:val="none"/>
        </w:rPr>
        <w:t xml:space="preserve">         </w:t>
      </w:r>
      <w:r>
        <w:rPr>
          <w:rFonts w:hint="eastAsia" w:ascii="宋体" w:hAnsi="宋体" w:eastAsia="宋体"/>
          <w:color w:val="auto"/>
          <w:highlight w:val="none"/>
        </w:rPr>
        <w:t>时</w:t>
      </w:r>
      <w:r>
        <w:rPr>
          <w:rFonts w:ascii="宋体" w:hAnsi="宋体" w:eastAsia="宋体"/>
          <w:color w:val="auto"/>
          <w:highlight w:val="none"/>
        </w:rPr>
        <w:t xml:space="preserve">         </w:t>
      </w:r>
      <w:r>
        <w:rPr>
          <w:rFonts w:hint="eastAsia" w:ascii="宋体" w:hAnsi="宋体" w:eastAsia="宋体"/>
          <w:color w:val="auto"/>
          <w:highlight w:val="none"/>
        </w:rPr>
        <w:t>分</w:t>
      </w:r>
    </w:p>
    <w:tbl>
      <w:tblPr>
        <w:tblStyle w:val="32"/>
        <w:tblW w:w="9786" w:type="dxa"/>
        <w:tblInd w:w="0" w:type="dxa"/>
        <w:tblLayout w:type="fixed"/>
        <w:tblCellMar>
          <w:top w:w="0" w:type="dxa"/>
          <w:left w:w="108" w:type="dxa"/>
          <w:bottom w:w="0" w:type="dxa"/>
          <w:right w:w="108" w:type="dxa"/>
        </w:tblCellMar>
      </w:tblPr>
      <w:tblGrid>
        <w:gridCol w:w="692"/>
        <w:gridCol w:w="1695"/>
        <w:gridCol w:w="869"/>
        <w:gridCol w:w="954"/>
        <w:gridCol w:w="954"/>
        <w:gridCol w:w="954"/>
        <w:gridCol w:w="954"/>
        <w:gridCol w:w="770"/>
        <w:gridCol w:w="888"/>
        <w:gridCol w:w="1056"/>
      </w:tblGrid>
      <w:tr w14:paraId="620DF807">
        <w:tc>
          <w:tcPr>
            <w:tcW w:w="692" w:type="dxa"/>
            <w:tcBorders>
              <w:top w:val="single" w:color="auto" w:sz="4" w:space="0"/>
              <w:left w:val="single" w:color="auto" w:sz="4" w:space="0"/>
              <w:bottom w:val="single" w:color="auto" w:sz="4" w:space="0"/>
              <w:right w:val="single" w:color="auto" w:sz="4" w:space="0"/>
            </w:tcBorders>
            <w:noWrap w:val="0"/>
            <w:vAlign w:val="center"/>
          </w:tcPr>
          <w:p w14:paraId="0AD21A1C">
            <w:pPr>
              <w:jc w:val="center"/>
              <w:rPr>
                <w:rFonts w:ascii="宋体" w:hAnsi="宋体" w:eastAsia="宋体"/>
                <w:color w:val="auto"/>
                <w:highlight w:val="none"/>
              </w:rPr>
            </w:pPr>
            <w:r>
              <w:rPr>
                <w:rFonts w:hint="eastAsia" w:ascii="宋体" w:hAnsi="宋体" w:eastAsia="宋体"/>
                <w:color w:val="auto"/>
                <w:highlight w:val="none"/>
              </w:rPr>
              <w:t>序号</w:t>
            </w:r>
          </w:p>
        </w:tc>
        <w:tc>
          <w:tcPr>
            <w:tcW w:w="1695" w:type="dxa"/>
            <w:tcBorders>
              <w:top w:val="single" w:color="auto" w:sz="4" w:space="0"/>
              <w:left w:val="single" w:color="auto" w:sz="4" w:space="0"/>
              <w:bottom w:val="single" w:color="auto" w:sz="4" w:space="0"/>
              <w:right w:val="single" w:color="auto" w:sz="4" w:space="0"/>
            </w:tcBorders>
            <w:noWrap w:val="0"/>
            <w:vAlign w:val="center"/>
          </w:tcPr>
          <w:p w14:paraId="129B0A62">
            <w:pPr>
              <w:jc w:val="center"/>
              <w:rPr>
                <w:rFonts w:ascii="宋体" w:hAnsi="宋体" w:eastAsia="宋体"/>
                <w:color w:val="auto"/>
                <w:highlight w:val="none"/>
              </w:rPr>
            </w:pPr>
            <w:r>
              <w:rPr>
                <w:rFonts w:hint="eastAsia" w:ascii="宋体" w:hAnsi="宋体" w:eastAsia="宋体"/>
                <w:color w:val="auto"/>
                <w:highlight w:val="none"/>
              </w:rPr>
              <w:t>投标人</w:t>
            </w:r>
          </w:p>
        </w:tc>
        <w:tc>
          <w:tcPr>
            <w:tcW w:w="869" w:type="dxa"/>
            <w:tcBorders>
              <w:top w:val="single" w:color="auto" w:sz="4" w:space="0"/>
              <w:left w:val="single" w:color="auto" w:sz="4" w:space="0"/>
              <w:bottom w:val="single" w:color="auto" w:sz="4" w:space="0"/>
              <w:right w:val="single" w:color="auto" w:sz="4" w:space="0"/>
            </w:tcBorders>
            <w:noWrap w:val="0"/>
            <w:vAlign w:val="center"/>
          </w:tcPr>
          <w:p w14:paraId="6FD79C7A">
            <w:pPr>
              <w:jc w:val="center"/>
              <w:rPr>
                <w:rFonts w:hint="eastAsia" w:ascii="宋体" w:hAnsi="宋体" w:eastAsia="宋体"/>
                <w:color w:val="auto"/>
                <w:highlight w:val="none"/>
              </w:rPr>
            </w:pPr>
            <w:r>
              <w:rPr>
                <w:rFonts w:hint="eastAsia" w:ascii="宋体" w:hAnsi="宋体" w:eastAsia="宋体"/>
                <w:color w:val="auto"/>
                <w:highlight w:val="none"/>
              </w:rPr>
              <w:t>投标文件密封性</w:t>
            </w:r>
          </w:p>
        </w:tc>
        <w:tc>
          <w:tcPr>
            <w:tcW w:w="954" w:type="dxa"/>
            <w:tcBorders>
              <w:top w:val="single" w:color="auto" w:sz="4" w:space="0"/>
              <w:left w:val="single" w:color="auto" w:sz="4" w:space="0"/>
              <w:bottom w:val="single" w:color="auto" w:sz="4" w:space="0"/>
              <w:right w:val="single" w:color="auto" w:sz="4" w:space="0"/>
            </w:tcBorders>
            <w:noWrap w:val="0"/>
            <w:vAlign w:val="center"/>
          </w:tcPr>
          <w:p w14:paraId="2F01A402">
            <w:pPr>
              <w:jc w:val="center"/>
              <w:rPr>
                <w:rFonts w:hint="eastAsia" w:ascii="宋体" w:hAnsi="宋体" w:eastAsia="宋体"/>
                <w:color w:val="auto"/>
                <w:highlight w:val="none"/>
              </w:rPr>
            </w:pPr>
            <w:r>
              <w:rPr>
                <w:rFonts w:hint="eastAsia" w:ascii="宋体" w:hAnsi="宋体" w:eastAsia="宋体"/>
                <w:color w:val="auto"/>
                <w:highlight w:val="none"/>
              </w:rPr>
              <w:t>营销顾问费用（元/月）</w:t>
            </w:r>
          </w:p>
        </w:tc>
        <w:tc>
          <w:tcPr>
            <w:tcW w:w="954" w:type="dxa"/>
            <w:tcBorders>
              <w:top w:val="single" w:color="auto" w:sz="4" w:space="0"/>
              <w:left w:val="single" w:color="auto" w:sz="4" w:space="0"/>
              <w:bottom w:val="single" w:color="auto" w:sz="4" w:space="0"/>
              <w:right w:val="single" w:color="auto" w:sz="4" w:space="0"/>
            </w:tcBorders>
            <w:noWrap w:val="0"/>
            <w:vAlign w:val="center"/>
          </w:tcPr>
          <w:p w14:paraId="4DD6EFE2">
            <w:pPr>
              <w:jc w:val="center"/>
              <w:rPr>
                <w:rFonts w:hint="eastAsia" w:ascii="宋体" w:hAnsi="宋体" w:eastAsia="宋体"/>
                <w:color w:val="auto"/>
                <w:highlight w:val="none"/>
              </w:rPr>
            </w:pPr>
            <w:r>
              <w:rPr>
                <w:rFonts w:hint="eastAsia" w:ascii="宋体" w:hAnsi="宋体" w:eastAsia="宋体"/>
                <w:color w:val="auto"/>
                <w:highlight w:val="none"/>
              </w:rPr>
              <w:t>基</w:t>
            </w:r>
            <w:r>
              <w:rPr>
                <w:rFonts w:hint="eastAsia" w:ascii="宋体" w:hAnsi="宋体" w:eastAsia="宋体"/>
                <w:color w:val="auto"/>
                <w:highlight w:val="none"/>
                <w:lang w:val="en-US" w:eastAsia="zh-CN"/>
              </w:rPr>
              <w:t>础</w:t>
            </w:r>
            <w:r>
              <w:rPr>
                <w:rFonts w:hint="eastAsia" w:ascii="宋体" w:hAnsi="宋体" w:eastAsia="宋体"/>
                <w:color w:val="auto"/>
                <w:highlight w:val="none"/>
              </w:rPr>
              <w:t>代理佣金</w:t>
            </w:r>
          </w:p>
        </w:tc>
        <w:tc>
          <w:tcPr>
            <w:tcW w:w="954" w:type="dxa"/>
            <w:tcBorders>
              <w:top w:val="single" w:color="auto" w:sz="4" w:space="0"/>
              <w:left w:val="single" w:color="auto" w:sz="4" w:space="0"/>
              <w:bottom w:val="single" w:color="auto" w:sz="4" w:space="0"/>
              <w:right w:val="single" w:color="auto" w:sz="4" w:space="0"/>
            </w:tcBorders>
            <w:noWrap w:val="0"/>
            <w:vAlign w:val="center"/>
          </w:tcPr>
          <w:p w14:paraId="31096260">
            <w:pPr>
              <w:jc w:val="center"/>
              <w:rPr>
                <w:rFonts w:hint="eastAsia" w:ascii="宋体" w:hAnsi="宋体" w:eastAsia="宋体"/>
                <w:color w:val="auto"/>
                <w:highlight w:val="none"/>
              </w:rPr>
            </w:pPr>
            <w:r>
              <w:rPr>
                <w:rFonts w:hint="eastAsia" w:ascii="宋体" w:hAnsi="宋体" w:eastAsia="宋体"/>
                <w:color w:val="auto"/>
                <w:highlight w:val="none"/>
              </w:rPr>
              <w:t>统筹管理佣金</w:t>
            </w:r>
          </w:p>
        </w:tc>
        <w:tc>
          <w:tcPr>
            <w:tcW w:w="954" w:type="dxa"/>
            <w:tcBorders>
              <w:top w:val="single" w:color="auto" w:sz="4" w:space="0"/>
              <w:left w:val="single" w:color="auto" w:sz="4" w:space="0"/>
              <w:bottom w:val="single" w:color="auto" w:sz="4" w:space="0"/>
              <w:right w:val="single" w:color="auto" w:sz="4" w:space="0"/>
            </w:tcBorders>
            <w:noWrap w:val="0"/>
            <w:vAlign w:val="center"/>
          </w:tcPr>
          <w:p w14:paraId="196012C4">
            <w:pPr>
              <w:jc w:val="center"/>
              <w:rPr>
                <w:rFonts w:ascii="宋体" w:hAnsi="宋体" w:eastAsia="宋体"/>
                <w:color w:val="auto"/>
                <w:highlight w:val="none"/>
              </w:rPr>
            </w:pPr>
            <w:r>
              <w:rPr>
                <w:rFonts w:hint="eastAsia" w:ascii="宋体" w:hAnsi="宋体" w:eastAsia="宋体"/>
                <w:color w:val="auto"/>
                <w:highlight w:val="none"/>
              </w:rPr>
              <w:t>项目负责人</w:t>
            </w:r>
          </w:p>
        </w:tc>
        <w:tc>
          <w:tcPr>
            <w:tcW w:w="770" w:type="dxa"/>
            <w:tcBorders>
              <w:top w:val="single" w:color="auto" w:sz="4" w:space="0"/>
              <w:left w:val="single" w:color="auto" w:sz="4" w:space="0"/>
              <w:bottom w:val="single" w:color="auto" w:sz="4" w:space="0"/>
              <w:right w:val="single" w:color="auto" w:sz="4" w:space="0"/>
            </w:tcBorders>
            <w:noWrap w:val="0"/>
            <w:vAlign w:val="center"/>
          </w:tcPr>
          <w:p w14:paraId="038373C9">
            <w:pPr>
              <w:jc w:val="center"/>
              <w:rPr>
                <w:rFonts w:ascii="宋体" w:hAnsi="宋体" w:eastAsia="宋体"/>
                <w:color w:val="auto"/>
                <w:highlight w:val="none"/>
              </w:rPr>
            </w:pPr>
            <w:r>
              <w:rPr>
                <w:rFonts w:hint="eastAsia" w:ascii="宋体" w:hAnsi="宋体" w:eastAsia="宋体"/>
                <w:color w:val="auto"/>
                <w:highlight w:val="none"/>
              </w:rPr>
              <w:t>服务期限</w:t>
            </w:r>
          </w:p>
        </w:tc>
        <w:tc>
          <w:tcPr>
            <w:tcW w:w="888" w:type="dxa"/>
            <w:tcBorders>
              <w:top w:val="single" w:color="auto" w:sz="4" w:space="0"/>
              <w:left w:val="single" w:color="auto" w:sz="4" w:space="0"/>
              <w:bottom w:val="single" w:color="auto" w:sz="4" w:space="0"/>
              <w:right w:val="single" w:color="auto" w:sz="4" w:space="0"/>
            </w:tcBorders>
            <w:noWrap w:val="0"/>
            <w:vAlign w:val="center"/>
          </w:tcPr>
          <w:p w14:paraId="135356FC">
            <w:pPr>
              <w:jc w:val="center"/>
              <w:rPr>
                <w:rFonts w:ascii="宋体" w:hAnsi="宋体" w:eastAsia="宋体"/>
                <w:color w:val="auto"/>
                <w:highlight w:val="none"/>
              </w:rPr>
            </w:pPr>
            <w:r>
              <w:rPr>
                <w:rFonts w:hint="eastAsia" w:ascii="宋体" w:hAnsi="宋体" w:eastAsia="宋体"/>
                <w:color w:val="auto"/>
                <w:highlight w:val="none"/>
              </w:rPr>
              <w:t>备注</w:t>
            </w:r>
          </w:p>
        </w:tc>
        <w:tc>
          <w:tcPr>
            <w:tcW w:w="1056" w:type="dxa"/>
            <w:tcBorders>
              <w:top w:val="single" w:color="auto" w:sz="4" w:space="0"/>
              <w:left w:val="single" w:color="auto" w:sz="4" w:space="0"/>
              <w:bottom w:val="single" w:color="auto" w:sz="4" w:space="0"/>
              <w:right w:val="single" w:color="auto" w:sz="4" w:space="0"/>
            </w:tcBorders>
            <w:noWrap w:val="0"/>
            <w:vAlign w:val="center"/>
          </w:tcPr>
          <w:p w14:paraId="062568D8">
            <w:pPr>
              <w:jc w:val="center"/>
              <w:rPr>
                <w:rFonts w:ascii="宋体" w:hAnsi="宋体" w:eastAsia="宋体"/>
                <w:color w:val="auto"/>
                <w:highlight w:val="none"/>
              </w:rPr>
            </w:pPr>
            <w:r>
              <w:rPr>
                <w:rFonts w:hint="eastAsia" w:ascii="宋体" w:hAnsi="宋体" w:eastAsia="宋体"/>
                <w:color w:val="auto"/>
                <w:highlight w:val="none"/>
              </w:rPr>
              <w:t>投标人代表签名</w:t>
            </w:r>
          </w:p>
        </w:tc>
      </w:tr>
      <w:tr w14:paraId="78F986D8">
        <w:tblPrEx>
          <w:tblCellMar>
            <w:top w:w="0" w:type="dxa"/>
            <w:left w:w="108" w:type="dxa"/>
            <w:bottom w:w="0" w:type="dxa"/>
            <w:right w:w="108" w:type="dxa"/>
          </w:tblCellMar>
        </w:tblPrEx>
        <w:tc>
          <w:tcPr>
            <w:tcW w:w="692" w:type="dxa"/>
            <w:tcBorders>
              <w:top w:val="single" w:color="auto" w:sz="4" w:space="0"/>
              <w:left w:val="single" w:color="auto" w:sz="4" w:space="0"/>
              <w:bottom w:val="single" w:color="auto" w:sz="4" w:space="0"/>
              <w:right w:val="single" w:color="auto" w:sz="4" w:space="0"/>
            </w:tcBorders>
            <w:noWrap w:val="0"/>
            <w:vAlign w:val="top"/>
          </w:tcPr>
          <w:p w14:paraId="28D608EC">
            <w:pPr>
              <w:spacing w:line="500" w:lineRule="exact"/>
              <w:jc w:val="left"/>
              <w:rPr>
                <w:rFonts w:ascii="宋体" w:hAnsi="宋体" w:eastAsia="宋体"/>
                <w:color w:val="auto"/>
                <w:highlight w:val="none"/>
              </w:rPr>
            </w:pPr>
          </w:p>
        </w:tc>
        <w:tc>
          <w:tcPr>
            <w:tcW w:w="1695" w:type="dxa"/>
            <w:tcBorders>
              <w:top w:val="single" w:color="auto" w:sz="4" w:space="0"/>
              <w:left w:val="single" w:color="auto" w:sz="4" w:space="0"/>
              <w:bottom w:val="single" w:color="auto" w:sz="4" w:space="0"/>
              <w:right w:val="single" w:color="auto" w:sz="4" w:space="0"/>
            </w:tcBorders>
            <w:noWrap w:val="0"/>
            <w:vAlign w:val="top"/>
          </w:tcPr>
          <w:p w14:paraId="13E0D994">
            <w:pPr>
              <w:spacing w:line="500" w:lineRule="exact"/>
              <w:jc w:val="left"/>
              <w:rPr>
                <w:rFonts w:ascii="宋体" w:hAnsi="宋体" w:eastAsia="宋体"/>
                <w:color w:val="auto"/>
                <w:highlight w:val="none"/>
              </w:rPr>
            </w:pPr>
          </w:p>
        </w:tc>
        <w:tc>
          <w:tcPr>
            <w:tcW w:w="869" w:type="dxa"/>
            <w:tcBorders>
              <w:top w:val="single" w:color="auto" w:sz="4" w:space="0"/>
              <w:left w:val="single" w:color="auto" w:sz="4" w:space="0"/>
              <w:bottom w:val="single" w:color="auto" w:sz="4" w:space="0"/>
              <w:right w:val="single" w:color="auto" w:sz="4" w:space="0"/>
            </w:tcBorders>
            <w:noWrap w:val="0"/>
            <w:vAlign w:val="top"/>
          </w:tcPr>
          <w:p w14:paraId="58A5BF94">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741BDCF4">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7AA9D7BB">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198E8E09">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51C60278">
            <w:pPr>
              <w:spacing w:line="500" w:lineRule="exact"/>
              <w:jc w:val="left"/>
              <w:rPr>
                <w:rFonts w:ascii="宋体" w:hAnsi="宋体" w:eastAsia="宋体"/>
                <w:color w:val="auto"/>
                <w:highlight w:val="none"/>
              </w:rPr>
            </w:pPr>
          </w:p>
        </w:tc>
        <w:tc>
          <w:tcPr>
            <w:tcW w:w="770" w:type="dxa"/>
            <w:tcBorders>
              <w:top w:val="single" w:color="auto" w:sz="4" w:space="0"/>
              <w:left w:val="single" w:color="auto" w:sz="4" w:space="0"/>
              <w:bottom w:val="single" w:color="auto" w:sz="4" w:space="0"/>
              <w:right w:val="single" w:color="auto" w:sz="4" w:space="0"/>
            </w:tcBorders>
            <w:noWrap w:val="0"/>
            <w:vAlign w:val="center"/>
          </w:tcPr>
          <w:p w14:paraId="104E2463">
            <w:pPr>
              <w:spacing w:line="500" w:lineRule="exact"/>
              <w:jc w:val="center"/>
              <w:rPr>
                <w:rFonts w:ascii="宋体" w:hAnsi="宋体" w:eastAsia="宋体"/>
                <w:color w:val="auto"/>
                <w:highlight w:val="none"/>
              </w:rPr>
            </w:pPr>
          </w:p>
        </w:tc>
        <w:tc>
          <w:tcPr>
            <w:tcW w:w="888" w:type="dxa"/>
            <w:tcBorders>
              <w:top w:val="single" w:color="auto" w:sz="4" w:space="0"/>
              <w:left w:val="single" w:color="auto" w:sz="4" w:space="0"/>
              <w:bottom w:val="single" w:color="auto" w:sz="4" w:space="0"/>
              <w:right w:val="single" w:color="auto" w:sz="4" w:space="0"/>
            </w:tcBorders>
            <w:noWrap w:val="0"/>
            <w:vAlign w:val="top"/>
          </w:tcPr>
          <w:p w14:paraId="1158C22E">
            <w:pPr>
              <w:spacing w:line="500" w:lineRule="exact"/>
              <w:jc w:val="left"/>
              <w:rPr>
                <w:rFonts w:ascii="宋体" w:hAnsi="宋体" w:eastAsia="宋体"/>
                <w:color w:val="auto"/>
                <w:highlight w:val="none"/>
              </w:rPr>
            </w:pPr>
          </w:p>
        </w:tc>
        <w:tc>
          <w:tcPr>
            <w:tcW w:w="1056" w:type="dxa"/>
            <w:tcBorders>
              <w:top w:val="single" w:color="auto" w:sz="4" w:space="0"/>
              <w:left w:val="single" w:color="auto" w:sz="4" w:space="0"/>
              <w:bottom w:val="single" w:color="auto" w:sz="4" w:space="0"/>
              <w:right w:val="single" w:color="auto" w:sz="4" w:space="0"/>
            </w:tcBorders>
            <w:noWrap w:val="0"/>
            <w:vAlign w:val="top"/>
          </w:tcPr>
          <w:p w14:paraId="42D5BE1F">
            <w:pPr>
              <w:spacing w:line="500" w:lineRule="exact"/>
              <w:jc w:val="left"/>
              <w:rPr>
                <w:rFonts w:ascii="宋体" w:hAnsi="宋体" w:eastAsia="宋体"/>
                <w:color w:val="auto"/>
                <w:highlight w:val="none"/>
              </w:rPr>
            </w:pPr>
          </w:p>
        </w:tc>
      </w:tr>
      <w:tr w14:paraId="68518A9C">
        <w:tblPrEx>
          <w:tblCellMar>
            <w:top w:w="0" w:type="dxa"/>
            <w:left w:w="108" w:type="dxa"/>
            <w:bottom w:w="0" w:type="dxa"/>
            <w:right w:w="108" w:type="dxa"/>
          </w:tblCellMar>
        </w:tblPrEx>
        <w:tc>
          <w:tcPr>
            <w:tcW w:w="692" w:type="dxa"/>
            <w:tcBorders>
              <w:top w:val="single" w:color="auto" w:sz="4" w:space="0"/>
              <w:left w:val="single" w:color="auto" w:sz="4" w:space="0"/>
              <w:bottom w:val="single" w:color="auto" w:sz="4" w:space="0"/>
              <w:right w:val="single" w:color="auto" w:sz="4" w:space="0"/>
            </w:tcBorders>
            <w:noWrap w:val="0"/>
            <w:vAlign w:val="top"/>
          </w:tcPr>
          <w:p w14:paraId="434DCE39">
            <w:pPr>
              <w:spacing w:line="500" w:lineRule="exact"/>
              <w:jc w:val="left"/>
              <w:rPr>
                <w:rFonts w:ascii="宋体" w:hAnsi="宋体" w:eastAsia="宋体"/>
                <w:color w:val="auto"/>
                <w:highlight w:val="none"/>
              </w:rPr>
            </w:pPr>
          </w:p>
        </w:tc>
        <w:tc>
          <w:tcPr>
            <w:tcW w:w="1695" w:type="dxa"/>
            <w:tcBorders>
              <w:top w:val="single" w:color="auto" w:sz="4" w:space="0"/>
              <w:left w:val="single" w:color="auto" w:sz="4" w:space="0"/>
              <w:bottom w:val="single" w:color="auto" w:sz="4" w:space="0"/>
              <w:right w:val="single" w:color="auto" w:sz="4" w:space="0"/>
            </w:tcBorders>
            <w:noWrap w:val="0"/>
            <w:vAlign w:val="top"/>
          </w:tcPr>
          <w:p w14:paraId="2B69D4B9">
            <w:pPr>
              <w:spacing w:line="500" w:lineRule="exact"/>
              <w:jc w:val="left"/>
              <w:rPr>
                <w:rFonts w:ascii="宋体" w:hAnsi="宋体" w:eastAsia="宋体"/>
                <w:color w:val="auto"/>
                <w:highlight w:val="none"/>
              </w:rPr>
            </w:pPr>
          </w:p>
        </w:tc>
        <w:tc>
          <w:tcPr>
            <w:tcW w:w="869" w:type="dxa"/>
            <w:tcBorders>
              <w:top w:val="single" w:color="auto" w:sz="4" w:space="0"/>
              <w:left w:val="single" w:color="auto" w:sz="4" w:space="0"/>
              <w:bottom w:val="single" w:color="auto" w:sz="4" w:space="0"/>
              <w:right w:val="single" w:color="auto" w:sz="4" w:space="0"/>
            </w:tcBorders>
            <w:noWrap w:val="0"/>
            <w:vAlign w:val="top"/>
          </w:tcPr>
          <w:p w14:paraId="2D1DAD32">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33C679B5">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0BC6AA22">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6BCEFD61">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2C0E7D8D">
            <w:pPr>
              <w:spacing w:line="500" w:lineRule="exact"/>
              <w:jc w:val="left"/>
              <w:rPr>
                <w:rFonts w:ascii="宋体" w:hAnsi="宋体" w:eastAsia="宋体"/>
                <w:color w:val="auto"/>
                <w:highlight w:val="none"/>
              </w:rPr>
            </w:pPr>
          </w:p>
        </w:tc>
        <w:tc>
          <w:tcPr>
            <w:tcW w:w="770" w:type="dxa"/>
            <w:tcBorders>
              <w:top w:val="single" w:color="auto" w:sz="4" w:space="0"/>
              <w:left w:val="single" w:color="auto" w:sz="4" w:space="0"/>
              <w:bottom w:val="single" w:color="auto" w:sz="4" w:space="0"/>
              <w:right w:val="single" w:color="auto" w:sz="4" w:space="0"/>
            </w:tcBorders>
            <w:noWrap w:val="0"/>
            <w:vAlign w:val="center"/>
          </w:tcPr>
          <w:p w14:paraId="4518E155">
            <w:pPr>
              <w:spacing w:line="500" w:lineRule="exact"/>
              <w:jc w:val="center"/>
              <w:rPr>
                <w:rFonts w:ascii="宋体" w:hAnsi="宋体" w:eastAsia="宋体"/>
                <w:color w:val="auto"/>
                <w:highlight w:val="none"/>
              </w:rPr>
            </w:pPr>
          </w:p>
        </w:tc>
        <w:tc>
          <w:tcPr>
            <w:tcW w:w="888" w:type="dxa"/>
            <w:tcBorders>
              <w:top w:val="single" w:color="auto" w:sz="4" w:space="0"/>
              <w:left w:val="single" w:color="auto" w:sz="4" w:space="0"/>
              <w:bottom w:val="single" w:color="auto" w:sz="4" w:space="0"/>
              <w:right w:val="single" w:color="auto" w:sz="4" w:space="0"/>
            </w:tcBorders>
            <w:noWrap w:val="0"/>
            <w:vAlign w:val="top"/>
          </w:tcPr>
          <w:p w14:paraId="019DBB60">
            <w:pPr>
              <w:spacing w:line="500" w:lineRule="exact"/>
              <w:jc w:val="left"/>
              <w:rPr>
                <w:rFonts w:ascii="宋体" w:hAnsi="宋体" w:eastAsia="宋体"/>
                <w:color w:val="auto"/>
                <w:highlight w:val="none"/>
              </w:rPr>
            </w:pPr>
          </w:p>
        </w:tc>
        <w:tc>
          <w:tcPr>
            <w:tcW w:w="1056" w:type="dxa"/>
            <w:tcBorders>
              <w:top w:val="single" w:color="auto" w:sz="4" w:space="0"/>
              <w:left w:val="single" w:color="auto" w:sz="4" w:space="0"/>
              <w:bottom w:val="single" w:color="auto" w:sz="4" w:space="0"/>
              <w:right w:val="single" w:color="auto" w:sz="4" w:space="0"/>
            </w:tcBorders>
            <w:noWrap w:val="0"/>
            <w:vAlign w:val="top"/>
          </w:tcPr>
          <w:p w14:paraId="5AC27931">
            <w:pPr>
              <w:spacing w:line="500" w:lineRule="exact"/>
              <w:jc w:val="left"/>
              <w:rPr>
                <w:rFonts w:ascii="宋体" w:hAnsi="宋体" w:eastAsia="宋体"/>
                <w:color w:val="auto"/>
                <w:highlight w:val="none"/>
              </w:rPr>
            </w:pPr>
          </w:p>
        </w:tc>
      </w:tr>
      <w:tr w14:paraId="1DC64320">
        <w:tblPrEx>
          <w:tblCellMar>
            <w:top w:w="0" w:type="dxa"/>
            <w:left w:w="108" w:type="dxa"/>
            <w:bottom w:w="0" w:type="dxa"/>
            <w:right w:w="108" w:type="dxa"/>
          </w:tblCellMar>
        </w:tblPrEx>
        <w:tc>
          <w:tcPr>
            <w:tcW w:w="692" w:type="dxa"/>
            <w:tcBorders>
              <w:top w:val="single" w:color="auto" w:sz="4" w:space="0"/>
              <w:left w:val="single" w:color="auto" w:sz="4" w:space="0"/>
              <w:bottom w:val="single" w:color="auto" w:sz="4" w:space="0"/>
              <w:right w:val="single" w:color="auto" w:sz="4" w:space="0"/>
            </w:tcBorders>
            <w:noWrap w:val="0"/>
            <w:vAlign w:val="top"/>
          </w:tcPr>
          <w:p w14:paraId="637B8DA1">
            <w:pPr>
              <w:spacing w:line="500" w:lineRule="exact"/>
              <w:jc w:val="left"/>
              <w:rPr>
                <w:rFonts w:ascii="宋体" w:hAnsi="宋体" w:eastAsia="宋体"/>
                <w:color w:val="auto"/>
                <w:highlight w:val="none"/>
              </w:rPr>
            </w:pPr>
          </w:p>
        </w:tc>
        <w:tc>
          <w:tcPr>
            <w:tcW w:w="1695" w:type="dxa"/>
            <w:tcBorders>
              <w:top w:val="single" w:color="auto" w:sz="4" w:space="0"/>
              <w:left w:val="single" w:color="auto" w:sz="4" w:space="0"/>
              <w:bottom w:val="single" w:color="auto" w:sz="4" w:space="0"/>
              <w:right w:val="single" w:color="auto" w:sz="4" w:space="0"/>
            </w:tcBorders>
            <w:noWrap w:val="0"/>
            <w:vAlign w:val="top"/>
          </w:tcPr>
          <w:p w14:paraId="79E13378">
            <w:pPr>
              <w:spacing w:line="500" w:lineRule="exact"/>
              <w:jc w:val="left"/>
              <w:rPr>
                <w:rFonts w:ascii="宋体" w:hAnsi="宋体" w:eastAsia="宋体"/>
                <w:color w:val="auto"/>
                <w:highlight w:val="none"/>
              </w:rPr>
            </w:pPr>
          </w:p>
        </w:tc>
        <w:tc>
          <w:tcPr>
            <w:tcW w:w="869" w:type="dxa"/>
            <w:tcBorders>
              <w:top w:val="single" w:color="auto" w:sz="4" w:space="0"/>
              <w:left w:val="single" w:color="auto" w:sz="4" w:space="0"/>
              <w:bottom w:val="single" w:color="auto" w:sz="4" w:space="0"/>
              <w:right w:val="single" w:color="auto" w:sz="4" w:space="0"/>
            </w:tcBorders>
            <w:noWrap w:val="0"/>
            <w:vAlign w:val="top"/>
          </w:tcPr>
          <w:p w14:paraId="24B9F718">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014DAD2F">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19FB6E1E">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10760B78">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0CB49265">
            <w:pPr>
              <w:spacing w:line="500" w:lineRule="exact"/>
              <w:jc w:val="left"/>
              <w:rPr>
                <w:rFonts w:ascii="宋体" w:hAnsi="宋体" w:eastAsia="宋体"/>
                <w:color w:val="auto"/>
                <w:highlight w:val="none"/>
              </w:rPr>
            </w:pPr>
          </w:p>
        </w:tc>
        <w:tc>
          <w:tcPr>
            <w:tcW w:w="770" w:type="dxa"/>
            <w:tcBorders>
              <w:top w:val="single" w:color="auto" w:sz="4" w:space="0"/>
              <w:left w:val="single" w:color="auto" w:sz="4" w:space="0"/>
              <w:bottom w:val="single" w:color="auto" w:sz="4" w:space="0"/>
              <w:right w:val="single" w:color="auto" w:sz="4" w:space="0"/>
            </w:tcBorders>
            <w:noWrap w:val="0"/>
            <w:vAlign w:val="center"/>
          </w:tcPr>
          <w:p w14:paraId="735CB2E6">
            <w:pPr>
              <w:spacing w:line="500" w:lineRule="exact"/>
              <w:jc w:val="center"/>
              <w:rPr>
                <w:rFonts w:ascii="宋体" w:hAnsi="宋体" w:eastAsia="宋体"/>
                <w:color w:val="auto"/>
                <w:highlight w:val="none"/>
              </w:rPr>
            </w:pPr>
          </w:p>
        </w:tc>
        <w:tc>
          <w:tcPr>
            <w:tcW w:w="888" w:type="dxa"/>
            <w:tcBorders>
              <w:top w:val="single" w:color="auto" w:sz="4" w:space="0"/>
              <w:left w:val="single" w:color="auto" w:sz="4" w:space="0"/>
              <w:bottom w:val="single" w:color="auto" w:sz="4" w:space="0"/>
              <w:right w:val="single" w:color="auto" w:sz="4" w:space="0"/>
            </w:tcBorders>
            <w:noWrap w:val="0"/>
            <w:vAlign w:val="top"/>
          </w:tcPr>
          <w:p w14:paraId="2DE91CD2">
            <w:pPr>
              <w:spacing w:line="500" w:lineRule="exact"/>
              <w:jc w:val="left"/>
              <w:rPr>
                <w:rFonts w:ascii="宋体" w:hAnsi="宋体" w:eastAsia="宋体"/>
                <w:color w:val="auto"/>
                <w:highlight w:val="none"/>
              </w:rPr>
            </w:pPr>
          </w:p>
        </w:tc>
        <w:tc>
          <w:tcPr>
            <w:tcW w:w="1056" w:type="dxa"/>
            <w:tcBorders>
              <w:top w:val="single" w:color="auto" w:sz="4" w:space="0"/>
              <w:left w:val="single" w:color="auto" w:sz="4" w:space="0"/>
              <w:bottom w:val="single" w:color="auto" w:sz="4" w:space="0"/>
              <w:right w:val="single" w:color="auto" w:sz="4" w:space="0"/>
            </w:tcBorders>
            <w:noWrap w:val="0"/>
            <w:vAlign w:val="top"/>
          </w:tcPr>
          <w:p w14:paraId="08ED3B32">
            <w:pPr>
              <w:spacing w:line="500" w:lineRule="exact"/>
              <w:jc w:val="left"/>
              <w:rPr>
                <w:rFonts w:ascii="宋体" w:hAnsi="宋体" w:eastAsia="宋体"/>
                <w:color w:val="auto"/>
                <w:highlight w:val="none"/>
              </w:rPr>
            </w:pPr>
          </w:p>
        </w:tc>
      </w:tr>
      <w:tr w14:paraId="756D1A63">
        <w:tblPrEx>
          <w:tblCellMar>
            <w:top w:w="0" w:type="dxa"/>
            <w:left w:w="108" w:type="dxa"/>
            <w:bottom w:w="0" w:type="dxa"/>
            <w:right w:w="108" w:type="dxa"/>
          </w:tblCellMar>
        </w:tblPrEx>
        <w:tc>
          <w:tcPr>
            <w:tcW w:w="692" w:type="dxa"/>
            <w:tcBorders>
              <w:top w:val="single" w:color="auto" w:sz="4" w:space="0"/>
              <w:left w:val="single" w:color="auto" w:sz="4" w:space="0"/>
              <w:bottom w:val="single" w:color="auto" w:sz="4" w:space="0"/>
              <w:right w:val="single" w:color="auto" w:sz="4" w:space="0"/>
            </w:tcBorders>
            <w:noWrap w:val="0"/>
            <w:vAlign w:val="top"/>
          </w:tcPr>
          <w:p w14:paraId="4397FEEF">
            <w:pPr>
              <w:spacing w:line="500" w:lineRule="exact"/>
              <w:jc w:val="left"/>
              <w:rPr>
                <w:rFonts w:ascii="宋体" w:hAnsi="宋体" w:eastAsia="宋体"/>
                <w:color w:val="auto"/>
                <w:highlight w:val="none"/>
              </w:rPr>
            </w:pPr>
          </w:p>
        </w:tc>
        <w:tc>
          <w:tcPr>
            <w:tcW w:w="1695" w:type="dxa"/>
            <w:tcBorders>
              <w:top w:val="single" w:color="auto" w:sz="4" w:space="0"/>
              <w:left w:val="single" w:color="auto" w:sz="4" w:space="0"/>
              <w:bottom w:val="single" w:color="auto" w:sz="4" w:space="0"/>
              <w:right w:val="single" w:color="auto" w:sz="4" w:space="0"/>
            </w:tcBorders>
            <w:noWrap w:val="0"/>
            <w:vAlign w:val="top"/>
          </w:tcPr>
          <w:p w14:paraId="75D50F8C">
            <w:pPr>
              <w:spacing w:line="500" w:lineRule="exact"/>
              <w:jc w:val="left"/>
              <w:rPr>
                <w:rFonts w:ascii="宋体" w:hAnsi="宋体" w:eastAsia="宋体"/>
                <w:color w:val="auto"/>
                <w:highlight w:val="none"/>
              </w:rPr>
            </w:pPr>
          </w:p>
        </w:tc>
        <w:tc>
          <w:tcPr>
            <w:tcW w:w="869" w:type="dxa"/>
            <w:tcBorders>
              <w:top w:val="single" w:color="auto" w:sz="4" w:space="0"/>
              <w:left w:val="single" w:color="auto" w:sz="4" w:space="0"/>
              <w:bottom w:val="single" w:color="auto" w:sz="4" w:space="0"/>
              <w:right w:val="single" w:color="auto" w:sz="4" w:space="0"/>
            </w:tcBorders>
            <w:noWrap w:val="0"/>
            <w:vAlign w:val="top"/>
          </w:tcPr>
          <w:p w14:paraId="7A52EB41">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73A887BC">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6A00B7D4">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1AF06463">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754FEE4A">
            <w:pPr>
              <w:spacing w:line="500" w:lineRule="exact"/>
              <w:jc w:val="left"/>
              <w:rPr>
                <w:rFonts w:ascii="宋体" w:hAnsi="宋体" w:eastAsia="宋体"/>
                <w:color w:val="auto"/>
                <w:highlight w:val="none"/>
              </w:rPr>
            </w:pPr>
          </w:p>
        </w:tc>
        <w:tc>
          <w:tcPr>
            <w:tcW w:w="770" w:type="dxa"/>
            <w:tcBorders>
              <w:top w:val="single" w:color="auto" w:sz="4" w:space="0"/>
              <w:left w:val="single" w:color="auto" w:sz="4" w:space="0"/>
              <w:bottom w:val="single" w:color="auto" w:sz="4" w:space="0"/>
              <w:right w:val="single" w:color="auto" w:sz="4" w:space="0"/>
            </w:tcBorders>
            <w:noWrap w:val="0"/>
            <w:vAlign w:val="center"/>
          </w:tcPr>
          <w:p w14:paraId="48E39B56">
            <w:pPr>
              <w:spacing w:line="500" w:lineRule="exact"/>
              <w:jc w:val="center"/>
              <w:rPr>
                <w:rFonts w:ascii="宋体" w:hAnsi="宋体" w:eastAsia="宋体"/>
                <w:color w:val="auto"/>
                <w:highlight w:val="none"/>
              </w:rPr>
            </w:pPr>
          </w:p>
        </w:tc>
        <w:tc>
          <w:tcPr>
            <w:tcW w:w="888" w:type="dxa"/>
            <w:tcBorders>
              <w:top w:val="single" w:color="auto" w:sz="4" w:space="0"/>
              <w:left w:val="single" w:color="auto" w:sz="4" w:space="0"/>
              <w:bottom w:val="single" w:color="auto" w:sz="4" w:space="0"/>
              <w:right w:val="single" w:color="auto" w:sz="4" w:space="0"/>
            </w:tcBorders>
            <w:noWrap w:val="0"/>
            <w:vAlign w:val="top"/>
          </w:tcPr>
          <w:p w14:paraId="6F6342C7">
            <w:pPr>
              <w:spacing w:line="500" w:lineRule="exact"/>
              <w:jc w:val="left"/>
              <w:rPr>
                <w:rFonts w:ascii="宋体" w:hAnsi="宋体" w:eastAsia="宋体"/>
                <w:color w:val="auto"/>
                <w:highlight w:val="none"/>
              </w:rPr>
            </w:pPr>
          </w:p>
        </w:tc>
        <w:tc>
          <w:tcPr>
            <w:tcW w:w="1056" w:type="dxa"/>
            <w:tcBorders>
              <w:top w:val="single" w:color="auto" w:sz="4" w:space="0"/>
              <w:left w:val="single" w:color="auto" w:sz="4" w:space="0"/>
              <w:bottom w:val="single" w:color="auto" w:sz="4" w:space="0"/>
              <w:right w:val="single" w:color="auto" w:sz="4" w:space="0"/>
            </w:tcBorders>
            <w:noWrap w:val="0"/>
            <w:vAlign w:val="top"/>
          </w:tcPr>
          <w:p w14:paraId="632A02DF">
            <w:pPr>
              <w:spacing w:line="500" w:lineRule="exact"/>
              <w:jc w:val="left"/>
              <w:rPr>
                <w:rFonts w:ascii="宋体" w:hAnsi="宋体" w:eastAsia="宋体"/>
                <w:color w:val="auto"/>
                <w:highlight w:val="none"/>
              </w:rPr>
            </w:pPr>
          </w:p>
        </w:tc>
      </w:tr>
      <w:tr w14:paraId="7476E434">
        <w:tblPrEx>
          <w:tblCellMar>
            <w:top w:w="0" w:type="dxa"/>
            <w:left w:w="108" w:type="dxa"/>
            <w:bottom w:w="0" w:type="dxa"/>
            <w:right w:w="108" w:type="dxa"/>
          </w:tblCellMar>
        </w:tblPrEx>
        <w:tc>
          <w:tcPr>
            <w:tcW w:w="692" w:type="dxa"/>
            <w:tcBorders>
              <w:top w:val="single" w:color="auto" w:sz="4" w:space="0"/>
              <w:left w:val="single" w:color="auto" w:sz="4" w:space="0"/>
              <w:bottom w:val="single" w:color="auto" w:sz="4" w:space="0"/>
              <w:right w:val="single" w:color="auto" w:sz="4" w:space="0"/>
            </w:tcBorders>
            <w:noWrap w:val="0"/>
            <w:vAlign w:val="top"/>
          </w:tcPr>
          <w:p w14:paraId="09B2A7F2">
            <w:pPr>
              <w:spacing w:line="500" w:lineRule="exact"/>
              <w:jc w:val="left"/>
              <w:rPr>
                <w:rFonts w:ascii="宋体" w:hAnsi="宋体" w:eastAsia="宋体"/>
                <w:color w:val="auto"/>
                <w:highlight w:val="none"/>
              </w:rPr>
            </w:pPr>
          </w:p>
        </w:tc>
        <w:tc>
          <w:tcPr>
            <w:tcW w:w="1695" w:type="dxa"/>
            <w:tcBorders>
              <w:top w:val="single" w:color="auto" w:sz="4" w:space="0"/>
              <w:left w:val="single" w:color="auto" w:sz="4" w:space="0"/>
              <w:bottom w:val="single" w:color="auto" w:sz="4" w:space="0"/>
              <w:right w:val="single" w:color="auto" w:sz="4" w:space="0"/>
            </w:tcBorders>
            <w:noWrap w:val="0"/>
            <w:vAlign w:val="top"/>
          </w:tcPr>
          <w:p w14:paraId="7EBFA4B2">
            <w:pPr>
              <w:spacing w:line="500" w:lineRule="exact"/>
              <w:jc w:val="left"/>
              <w:rPr>
                <w:rFonts w:ascii="宋体" w:hAnsi="宋体" w:eastAsia="宋体"/>
                <w:color w:val="auto"/>
                <w:highlight w:val="none"/>
              </w:rPr>
            </w:pPr>
          </w:p>
        </w:tc>
        <w:tc>
          <w:tcPr>
            <w:tcW w:w="869" w:type="dxa"/>
            <w:tcBorders>
              <w:top w:val="single" w:color="auto" w:sz="4" w:space="0"/>
              <w:left w:val="single" w:color="auto" w:sz="4" w:space="0"/>
              <w:bottom w:val="single" w:color="auto" w:sz="4" w:space="0"/>
              <w:right w:val="single" w:color="auto" w:sz="4" w:space="0"/>
            </w:tcBorders>
            <w:noWrap w:val="0"/>
            <w:vAlign w:val="top"/>
          </w:tcPr>
          <w:p w14:paraId="258015ED">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031FB145">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13810B56">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6CBD83E5">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2EBAAB1B">
            <w:pPr>
              <w:spacing w:line="500" w:lineRule="exact"/>
              <w:jc w:val="left"/>
              <w:rPr>
                <w:rFonts w:ascii="宋体" w:hAnsi="宋体" w:eastAsia="宋体"/>
                <w:color w:val="auto"/>
                <w:highlight w:val="none"/>
              </w:rPr>
            </w:pPr>
          </w:p>
        </w:tc>
        <w:tc>
          <w:tcPr>
            <w:tcW w:w="770" w:type="dxa"/>
            <w:tcBorders>
              <w:top w:val="single" w:color="auto" w:sz="4" w:space="0"/>
              <w:left w:val="single" w:color="auto" w:sz="4" w:space="0"/>
              <w:bottom w:val="single" w:color="auto" w:sz="4" w:space="0"/>
              <w:right w:val="single" w:color="auto" w:sz="4" w:space="0"/>
            </w:tcBorders>
            <w:noWrap w:val="0"/>
            <w:vAlign w:val="center"/>
          </w:tcPr>
          <w:p w14:paraId="2C530A6F">
            <w:pPr>
              <w:spacing w:line="500" w:lineRule="exact"/>
              <w:jc w:val="center"/>
              <w:rPr>
                <w:rFonts w:ascii="宋体" w:hAnsi="宋体" w:eastAsia="宋体"/>
                <w:color w:val="auto"/>
                <w:highlight w:val="none"/>
              </w:rPr>
            </w:pPr>
          </w:p>
        </w:tc>
        <w:tc>
          <w:tcPr>
            <w:tcW w:w="888" w:type="dxa"/>
            <w:tcBorders>
              <w:top w:val="single" w:color="auto" w:sz="4" w:space="0"/>
              <w:left w:val="single" w:color="auto" w:sz="4" w:space="0"/>
              <w:bottom w:val="single" w:color="auto" w:sz="4" w:space="0"/>
              <w:right w:val="single" w:color="auto" w:sz="4" w:space="0"/>
            </w:tcBorders>
            <w:noWrap w:val="0"/>
            <w:vAlign w:val="top"/>
          </w:tcPr>
          <w:p w14:paraId="21D7F7E5">
            <w:pPr>
              <w:spacing w:line="500" w:lineRule="exact"/>
              <w:jc w:val="left"/>
              <w:rPr>
                <w:rFonts w:ascii="宋体" w:hAnsi="宋体" w:eastAsia="宋体"/>
                <w:color w:val="auto"/>
                <w:highlight w:val="none"/>
              </w:rPr>
            </w:pPr>
          </w:p>
        </w:tc>
        <w:tc>
          <w:tcPr>
            <w:tcW w:w="1056" w:type="dxa"/>
            <w:tcBorders>
              <w:top w:val="single" w:color="auto" w:sz="4" w:space="0"/>
              <w:left w:val="single" w:color="auto" w:sz="4" w:space="0"/>
              <w:bottom w:val="single" w:color="auto" w:sz="4" w:space="0"/>
              <w:right w:val="single" w:color="auto" w:sz="4" w:space="0"/>
            </w:tcBorders>
            <w:noWrap w:val="0"/>
            <w:vAlign w:val="top"/>
          </w:tcPr>
          <w:p w14:paraId="315900A7">
            <w:pPr>
              <w:spacing w:line="500" w:lineRule="exact"/>
              <w:jc w:val="left"/>
              <w:rPr>
                <w:rFonts w:ascii="宋体" w:hAnsi="宋体" w:eastAsia="宋体"/>
                <w:color w:val="auto"/>
                <w:highlight w:val="none"/>
              </w:rPr>
            </w:pPr>
          </w:p>
        </w:tc>
      </w:tr>
      <w:tr w14:paraId="08E3690A">
        <w:tblPrEx>
          <w:tblCellMar>
            <w:top w:w="0" w:type="dxa"/>
            <w:left w:w="108" w:type="dxa"/>
            <w:bottom w:w="0" w:type="dxa"/>
            <w:right w:w="108" w:type="dxa"/>
          </w:tblCellMar>
        </w:tblPrEx>
        <w:tc>
          <w:tcPr>
            <w:tcW w:w="692" w:type="dxa"/>
            <w:tcBorders>
              <w:top w:val="single" w:color="auto" w:sz="4" w:space="0"/>
              <w:left w:val="single" w:color="auto" w:sz="4" w:space="0"/>
              <w:bottom w:val="single" w:color="auto" w:sz="4" w:space="0"/>
              <w:right w:val="single" w:color="auto" w:sz="4" w:space="0"/>
            </w:tcBorders>
            <w:noWrap w:val="0"/>
            <w:vAlign w:val="top"/>
          </w:tcPr>
          <w:p w14:paraId="600DD7BD">
            <w:pPr>
              <w:spacing w:line="500" w:lineRule="exact"/>
              <w:jc w:val="left"/>
              <w:rPr>
                <w:rFonts w:ascii="宋体" w:hAnsi="宋体" w:eastAsia="宋体"/>
                <w:color w:val="auto"/>
                <w:highlight w:val="none"/>
              </w:rPr>
            </w:pPr>
          </w:p>
        </w:tc>
        <w:tc>
          <w:tcPr>
            <w:tcW w:w="1695" w:type="dxa"/>
            <w:tcBorders>
              <w:top w:val="single" w:color="auto" w:sz="4" w:space="0"/>
              <w:left w:val="single" w:color="auto" w:sz="4" w:space="0"/>
              <w:bottom w:val="single" w:color="auto" w:sz="4" w:space="0"/>
              <w:right w:val="single" w:color="auto" w:sz="4" w:space="0"/>
            </w:tcBorders>
            <w:noWrap w:val="0"/>
            <w:vAlign w:val="top"/>
          </w:tcPr>
          <w:p w14:paraId="7179AA00">
            <w:pPr>
              <w:spacing w:line="500" w:lineRule="exact"/>
              <w:jc w:val="left"/>
              <w:rPr>
                <w:rFonts w:ascii="宋体" w:hAnsi="宋体" w:eastAsia="宋体"/>
                <w:color w:val="auto"/>
                <w:highlight w:val="none"/>
              </w:rPr>
            </w:pPr>
          </w:p>
        </w:tc>
        <w:tc>
          <w:tcPr>
            <w:tcW w:w="869" w:type="dxa"/>
            <w:tcBorders>
              <w:top w:val="single" w:color="auto" w:sz="4" w:space="0"/>
              <w:left w:val="single" w:color="auto" w:sz="4" w:space="0"/>
              <w:bottom w:val="single" w:color="auto" w:sz="4" w:space="0"/>
              <w:right w:val="single" w:color="auto" w:sz="4" w:space="0"/>
            </w:tcBorders>
            <w:noWrap w:val="0"/>
            <w:vAlign w:val="top"/>
          </w:tcPr>
          <w:p w14:paraId="721CD73F">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5E886A36">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1D8DEA31">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34D6B6DC">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3F4F779A">
            <w:pPr>
              <w:spacing w:line="500" w:lineRule="exact"/>
              <w:jc w:val="left"/>
              <w:rPr>
                <w:rFonts w:ascii="宋体" w:hAnsi="宋体" w:eastAsia="宋体"/>
                <w:color w:val="auto"/>
                <w:highlight w:val="none"/>
              </w:rPr>
            </w:pPr>
          </w:p>
        </w:tc>
        <w:tc>
          <w:tcPr>
            <w:tcW w:w="770" w:type="dxa"/>
            <w:tcBorders>
              <w:top w:val="single" w:color="auto" w:sz="4" w:space="0"/>
              <w:left w:val="single" w:color="auto" w:sz="4" w:space="0"/>
              <w:bottom w:val="single" w:color="auto" w:sz="4" w:space="0"/>
              <w:right w:val="single" w:color="auto" w:sz="4" w:space="0"/>
            </w:tcBorders>
            <w:noWrap w:val="0"/>
            <w:vAlign w:val="center"/>
          </w:tcPr>
          <w:p w14:paraId="14FBB96A">
            <w:pPr>
              <w:spacing w:line="500" w:lineRule="exact"/>
              <w:jc w:val="center"/>
              <w:rPr>
                <w:rFonts w:ascii="宋体" w:hAnsi="宋体" w:eastAsia="宋体"/>
                <w:color w:val="auto"/>
                <w:highlight w:val="none"/>
              </w:rPr>
            </w:pPr>
          </w:p>
        </w:tc>
        <w:tc>
          <w:tcPr>
            <w:tcW w:w="888" w:type="dxa"/>
            <w:tcBorders>
              <w:top w:val="single" w:color="auto" w:sz="4" w:space="0"/>
              <w:left w:val="single" w:color="auto" w:sz="4" w:space="0"/>
              <w:bottom w:val="single" w:color="auto" w:sz="4" w:space="0"/>
              <w:right w:val="single" w:color="auto" w:sz="4" w:space="0"/>
            </w:tcBorders>
            <w:noWrap w:val="0"/>
            <w:vAlign w:val="top"/>
          </w:tcPr>
          <w:p w14:paraId="45DFD267">
            <w:pPr>
              <w:spacing w:line="500" w:lineRule="exact"/>
              <w:jc w:val="left"/>
              <w:rPr>
                <w:rFonts w:ascii="宋体" w:hAnsi="宋体" w:eastAsia="宋体"/>
                <w:color w:val="auto"/>
                <w:highlight w:val="none"/>
              </w:rPr>
            </w:pPr>
          </w:p>
        </w:tc>
        <w:tc>
          <w:tcPr>
            <w:tcW w:w="1056" w:type="dxa"/>
            <w:tcBorders>
              <w:top w:val="single" w:color="auto" w:sz="4" w:space="0"/>
              <w:left w:val="single" w:color="auto" w:sz="4" w:space="0"/>
              <w:bottom w:val="single" w:color="auto" w:sz="4" w:space="0"/>
              <w:right w:val="single" w:color="auto" w:sz="4" w:space="0"/>
            </w:tcBorders>
            <w:noWrap w:val="0"/>
            <w:vAlign w:val="top"/>
          </w:tcPr>
          <w:p w14:paraId="0EE7AD8C">
            <w:pPr>
              <w:spacing w:line="500" w:lineRule="exact"/>
              <w:jc w:val="left"/>
              <w:rPr>
                <w:rFonts w:ascii="宋体" w:hAnsi="宋体" w:eastAsia="宋体"/>
                <w:color w:val="auto"/>
                <w:highlight w:val="none"/>
              </w:rPr>
            </w:pPr>
          </w:p>
        </w:tc>
      </w:tr>
      <w:tr w14:paraId="7124A168">
        <w:tblPrEx>
          <w:tblCellMar>
            <w:top w:w="0" w:type="dxa"/>
            <w:left w:w="108" w:type="dxa"/>
            <w:bottom w:w="0" w:type="dxa"/>
            <w:right w:w="108" w:type="dxa"/>
          </w:tblCellMar>
        </w:tblPrEx>
        <w:tc>
          <w:tcPr>
            <w:tcW w:w="692" w:type="dxa"/>
            <w:tcBorders>
              <w:top w:val="single" w:color="auto" w:sz="4" w:space="0"/>
              <w:left w:val="single" w:color="auto" w:sz="4" w:space="0"/>
              <w:bottom w:val="single" w:color="auto" w:sz="4" w:space="0"/>
              <w:right w:val="single" w:color="auto" w:sz="4" w:space="0"/>
            </w:tcBorders>
            <w:noWrap w:val="0"/>
            <w:vAlign w:val="top"/>
          </w:tcPr>
          <w:p w14:paraId="237C865E">
            <w:pPr>
              <w:spacing w:line="500" w:lineRule="exact"/>
              <w:jc w:val="left"/>
              <w:rPr>
                <w:rFonts w:ascii="宋体" w:hAnsi="宋体" w:eastAsia="宋体"/>
                <w:color w:val="auto"/>
                <w:highlight w:val="none"/>
              </w:rPr>
            </w:pPr>
          </w:p>
        </w:tc>
        <w:tc>
          <w:tcPr>
            <w:tcW w:w="1695" w:type="dxa"/>
            <w:tcBorders>
              <w:top w:val="single" w:color="auto" w:sz="4" w:space="0"/>
              <w:left w:val="single" w:color="auto" w:sz="4" w:space="0"/>
              <w:bottom w:val="single" w:color="auto" w:sz="4" w:space="0"/>
              <w:right w:val="single" w:color="auto" w:sz="4" w:space="0"/>
            </w:tcBorders>
            <w:noWrap w:val="0"/>
            <w:vAlign w:val="top"/>
          </w:tcPr>
          <w:p w14:paraId="789609B8">
            <w:pPr>
              <w:spacing w:line="500" w:lineRule="exact"/>
              <w:jc w:val="left"/>
              <w:rPr>
                <w:rFonts w:ascii="宋体" w:hAnsi="宋体" w:eastAsia="宋体"/>
                <w:color w:val="auto"/>
                <w:highlight w:val="none"/>
              </w:rPr>
            </w:pPr>
          </w:p>
        </w:tc>
        <w:tc>
          <w:tcPr>
            <w:tcW w:w="869" w:type="dxa"/>
            <w:tcBorders>
              <w:top w:val="single" w:color="auto" w:sz="4" w:space="0"/>
              <w:left w:val="single" w:color="auto" w:sz="4" w:space="0"/>
              <w:bottom w:val="single" w:color="auto" w:sz="4" w:space="0"/>
              <w:right w:val="single" w:color="auto" w:sz="4" w:space="0"/>
            </w:tcBorders>
            <w:noWrap w:val="0"/>
            <w:vAlign w:val="top"/>
          </w:tcPr>
          <w:p w14:paraId="3E532573">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5F3DA122">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74C4FADE">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4C3B2D2D">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512820AD">
            <w:pPr>
              <w:spacing w:line="500" w:lineRule="exact"/>
              <w:jc w:val="left"/>
              <w:rPr>
                <w:rFonts w:ascii="宋体" w:hAnsi="宋体" w:eastAsia="宋体"/>
                <w:color w:val="auto"/>
                <w:highlight w:val="none"/>
              </w:rPr>
            </w:pPr>
          </w:p>
        </w:tc>
        <w:tc>
          <w:tcPr>
            <w:tcW w:w="770" w:type="dxa"/>
            <w:tcBorders>
              <w:top w:val="single" w:color="auto" w:sz="4" w:space="0"/>
              <w:left w:val="single" w:color="auto" w:sz="4" w:space="0"/>
              <w:bottom w:val="single" w:color="auto" w:sz="4" w:space="0"/>
              <w:right w:val="single" w:color="auto" w:sz="4" w:space="0"/>
            </w:tcBorders>
            <w:noWrap w:val="0"/>
            <w:vAlign w:val="center"/>
          </w:tcPr>
          <w:p w14:paraId="06A977DC">
            <w:pPr>
              <w:spacing w:line="500" w:lineRule="exact"/>
              <w:jc w:val="center"/>
              <w:rPr>
                <w:rFonts w:ascii="宋体" w:hAnsi="宋体" w:eastAsia="宋体"/>
                <w:color w:val="auto"/>
                <w:highlight w:val="none"/>
              </w:rPr>
            </w:pPr>
          </w:p>
        </w:tc>
        <w:tc>
          <w:tcPr>
            <w:tcW w:w="888" w:type="dxa"/>
            <w:tcBorders>
              <w:top w:val="single" w:color="auto" w:sz="4" w:space="0"/>
              <w:left w:val="single" w:color="auto" w:sz="4" w:space="0"/>
              <w:bottom w:val="single" w:color="auto" w:sz="4" w:space="0"/>
              <w:right w:val="single" w:color="auto" w:sz="4" w:space="0"/>
            </w:tcBorders>
            <w:noWrap w:val="0"/>
            <w:vAlign w:val="top"/>
          </w:tcPr>
          <w:p w14:paraId="020BB5E5">
            <w:pPr>
              <w:spacing w:line="500" w:lineRule="exact"/>
              <w:jc w:val="left"/>
              <w:rPr>
                <w:rFonts w:ascii="宋体" w:hAnsi="宋体" w:eastAsia="宋体"/>
                <w:color w:val="auto"/>
                <w:highlight w:val="none"/>
              </w:rPr>
            </w:pPr>
          </w:p>
        </w:tc>
        <w:tc>
          <w:tcPr>
            <w:tcW w:w="1056" w:type="dxa"/>
            <w:tcBorders>
              <w:top w:val="single" w:color="auto" w:sz="4" w:space="0"/>
              <w:left w:val="single" w:color="auto" w:sz="4" w:space="0"/>
              <w:bottom w:val="single" w:color="auto" w:sz="4" w:space="0"/>
              <w:right w:val="single" w:color="auto" w:sz="4" w:space="0"/>
            </w:tcBorders>
            <w:noWrap w:val="0"/>
            <w:vAlign w:val="top"/>
          </w:tcPr>
          <w:p w14:paraId="0223DC7A">
            <w:pPr>
              <w:spacing w:line="500" w:lineRule="exact"/>
              <w:jc w:val="left"/>
              <w:rPr>
                <w:rFonts w:ascii="宋体" w:hAnsi="宋体" w:eastAsia="宋体"/>
                <w:color w:val="auto"/>
                <w:highlight w:val="none"/>
              </w:rPr>
            </w:pPr>
          </w:p>
        </w:tc>
      </w:tr>
      <w:tr w14:paraId="6863DB26">
        <w:tblPrEx>
          <w:tblCellMar>
            <w:top w:w="0" w:type="dxa"/>
            <w:left w:w="108" w:type="dxa"/>
            <w:bottom w:w="0" w:type="dxa"/>
            <w:right w:w="108" w:type="dxa"/>
          </w:tblCellMar>
        </w:tblPrEx>
        <w:tc>
          <w:tcPr>
            <w:tcW w:w="692" w:type="dxa"/>
            <w:tcBorders>
              <w:top w:val="single" w:color="auto" w:sz="4" w:space="0"/>
              <w:left w:val="single" w:color="auto" w:sz="4" w:space="0"/>
              <w:bottom w:val="single" w:color="auto" w:sz="4" w:space="0"/>
              <w:right w:val="single" w:color="auto" w:sz="4" w:space="0"/>
            </w:tcBorders>
            <w:noWrap w:val="0"/>
            <w:vAlign w:val="top"/>
          </w:tcPr>
          <w:p w14:paraId="1EE4EA7A">
            <w:pPr>
              <w:spacing w:line="500" w:lineRule="exact"/>
              <w:jc w:val="left"/>
              <w:rPr>
                <w:rFonts w:ascii="宋体" w:hAnsi="宋体" w:eastAsia="宋体"/>
                <w:color w:val="auto"/>
                <w:highlight w:val="none"/>
              </w:rPr>
            </w:pPr>
          </w:p>
        </w:tc>
        <w:tc>
          <w:tcPr>
            <w:tcW w:w="1695" w:type="dxa"/>
            <w:tcBorders>
              <w:top w:val="single" w:color="auto" w:sz="4" w:space="0"/>
              <w:left w:val="single" w:color="auto" w:sz="4" w:space="0"/>
              <w:bottom w:val="single" w:color="auto" w:sz="4" w:space="0"/>
              <w:right w:val="single" w:color="auto" w:sz="4" w:space="0"/>
            </w:tcBorders>
            <w:noWrap w:val="0"/>
            <w:vAlign w:val="top"/>
          </w:tcPr>
          <w:p w14:paraId="28718FAD">
            <w:pPr>
              <w:spacing w:line="500" w:lineRule="exact"/>
              <w:jc w:val="left"/>
              <w:rPr>
                <w:rFonts w:ascii="宋体" w:hAnsi="宋体" w:eastAsia="宋体"/>
                <w:color w:val="auto"/>
                <w:highlight w:val="none"/>
              </w:rPr>
            </w:pPr>
          </w:p>
        </w:tc>
        <w:tc>
          <w:tcPr>
            <w:tcW w:w="869" w:type="dxa"/>
            <w:tcBorders>
              <w:top w:val="single" w:color="auto" w:sz="4" w:space="0"/>
              <w:left w:val="single" w:color="auto" w:sz="4" w:space="0"/>
              <w:bottom w:val="single" w:color="auto" w:sz="4" w:space="0"/>
              <w:right w:val="single" w:color="auto" w:sz="4" w:space="0"/>
            </w:tcBorders>
            <w:noWrap w:val="0"/>
            <w:vAlign w:val="top"/>
          </w:tcPr>
          <w:p w14:paraId="69C97EC3">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1119EEC7">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1265AA86">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2177FA59">
            <w:pPr>
              <w:spacing w:line="500" w:lineRule="exact"/>
              <w:jc w:val="left"/>
              <w:rPr>
                <w:rFonts w:ascii="宋体" w:hAnsi="宋体" w:eastAsia="宋体"/>
                <w:color w:val="auto"/>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top"/>
          </w:tcPr>
          <w:p w14:paraId="4792A920">
            <w:pPr>
              <w:spacing w:line="500" w:lineRule="exact"/>
              <w:jc w:val="left"/>
              <w:rPr>
                <w:rFonts w:ascii="宋体" w:hAnsi="宋体" w:eastAsia="宋体"/>
                <w:color w:val="auto"/>
                <w:highlight w:val="none"/>
              </w:rPr>
            </w:pPr>
          </w:p>
        </w:tc>
        <w:tc>
          <w:tcPr>
            <w:tcW w:w="770" w:type="dxa"/>
            <w:tcBorders>
              <w:top w:val="single" w:color="auto" w:sz="4" w:space="0"/>
              <w:left w:val="single" w:color="auto" w:sz="4" w:space="0"/>
              <w:bottom w:val="single" w:color="auto" w:sz="4" w:space="0"/>
              <w:right w:val="single" w:color="auto" w:sz="4" w:space="0"/>
            </w:tcBorders>
            <w:noWrap w:val="0"/>
            <w:vAlign w:val="center"/>
          </w:tcPr>
          <w:p w14:paraId="2F6F2025">
            <w:pPr>
              <w:spacing w:line="500" w:lineRule="exact"/>
              <w:jc w:val="center"/>
              <w:rPr>
                <w:rFonts w:ascii="宋体" w:hAnsi="宋体" w:eastAsia="宋体"/>
                <w:color w:val="auto"/>
                <w:highlight w:val="none"/>
              </w:rPr>
            </w:pPr>
          </w:p>
        </w:tc>
        <w:tc>
          <w:tcPr>
            <w:tcW w:w="888" w:type="dxa"/>
            <w:tcBorders>
              <w:top w:val="single" w:color="auto" w:sz="4" w:space="0"/>
              <w:left w:val="single" w:color="auto" w:sz="4" w:space="0"/>
              <w:bottom w:val="single" w:color="auto" w:sz="4" w:space="0"/>
              <w:right w:val="single" w:color="auto" w:sz="4" w:space="0"/>
            </w:tcBorders>
            <w:noWrap w:val="0"/>
            <w:vAlign w:val="top"/>
          </w:tcPr>
          <w:p w14:paraId="5EC3783B">
            <w:pPr>
              <w:spacing w:line="500" w:lineRule="exact"/>
              <w:jc w:val="left"/>
              <w:rPr>
                <w:rFonts w:ascii="宋体" w:hAnsi="宋体" w:eastAsia="宋体"/>
                <w:color w:val="auto"/>
                <w:highlight w:val="none"/>
              </w:rPr>
            </w:pPr>
          </w:p>
        </w:tc>
        <w:tc>
          <w:tcPr>
            <w:tcW w:w="1056" w:type="dxa"/>
            <w:tcBorders>
              <w:top w:val="single" w:color="auto" w:sz="4" w:space="0"/>
              <w:left w:val="single" w:color="auto" w:sz="4" w:space="0"/>
              <w:bottom w:val="single" w:color="auto" w:sz="4" w:space="0"/>
              <w:right w:val="single" w:color="auto" w:sz="4" w:space="0"/>
            </w:tcBorders>
            <w:noWrap w:val="0"/>
            <w:vAlign w:val="top"/>
          </w:tcPr>
          <w:p w14:paraId="0B8BA69E">
            <w:pPr>
              <w:spacing w:line="500" w:lineRule="exact"/>
              <w:jc w:val="left"/>
              <w:rPr>
                <w:rFonts w:ascii="宋体" w:hAnsi="宋体" w:eastAsia="宋体"/>
                <w:color w:val="auto"/>
                <w:highlight w:val="none"/>
              </w:rPr>
            </w:pPr>
          </w:p>
        </w:tc>
      </w:tr>
    </w:tbl>
    <w:p w14:paraId="6D11F99F">
      <w:pPr>
        <w:spacing w:line="440" w:lineRule="exact"/>
        <w:rPr>
          <w:rFonts w:ascii="宋体" w:hAnsi="宋体" w:eastAsia="宋体"/>
          <w:color w:val="auto"/>
          <w:highlight w:val="none"/>
        </w:rPr>
      </w:pPr>
      <w:r>
        <w:rPr>
          <w:rFonts w:hint="eastAsia" w:ascii="宋体" w:hAnsi="宋体" w:eastAsia="宋体"/>
          <w:color w:val="auto"/>
          <w:highlight w:val="none"/>
        </w:rPr>
        <w:t>　　　招标人代表：               记录人：</w:t>
      </w:r>
      <w:r>
        <w:rPr>
          <w:rFonts w:ascii="宋体" w:hAnsi="宋体" w:eastAsia="宋体"/>
          <w:color w:val="auto"/>
          <w:highlight w:val="none"/>
        </w:rPr>
        <w:t xml:space="preserve"> </w:t>
      </w:r>
    </w:p>
    <w:p w14:paraId="46C27CF9">
      <w:pPr>
        <w:spacing w:line="620" w:lineRule="exact"/>
        <w:jc w:val="right"/>
        <w:rPr>
          <w:rFonts w:ascii="宋体" w:hAnsi="宋体" w:eastAsia="宋体"/>
          <w:color w:val="auto"/>
          <w:highlight w:val="none"/>
        </w:rPr>
      </w:pPr>
      <w:r>
        <w:rPr>
          <w:rFonts w:ascii="宋体" w:hAnsi="宋体" w:eastAsia="宋体"/>
          <w:color w:val="auto"/>
          <w:highlight w:val="none"/>
        </w:rPr>
        <w:t xml:space="preserve">       年       月       日</w:t>
      </w:r>
    </w:p>
    <w:p w14:paraId="0F26108E">
      <w:pPr>
        <w:widowControl/>
        <w:jc w:val="left"/>
        <w:rPr>
          <w:rFonts w:ascii="宋体" w:hAnsi="宋体" w:eastAsia="宋体"/>
          <w:color w:val="auto"/>
          <w:highlight w:val="none"/>
        </w:rPr>
        <w:sectPr>
          <w:pgSz w:w="11906" w:h="16838"/>
          <w:pgMar w:top="1800" w:right="1440" w:bottom="1800" w:left="1440" w:header="720" w:footer="720" w:gutter="0"/>
          <w:pgBorders>
            <w:top w:val="none" w:sz="0" w:space="0"/>
            <w:left w:val="none" w:sz="0" w:space="0"/>
            <w:bottom w:val="none" w:sz="0" w:space="0"/>
            <w:right w:val="none" w:sz="0" w:space="0"/>
          </w:pgBorders>
          <w:cols w:space="720" w:num="1"/>
          <w:docGrid w:linePitch="285" w:charSpace="0"/>
        </w:sectPr>
      </w:pPr>
    </w:p>
    <w:p w14:paraId="2AAB84F9">
      <w:pPr>
        <w:widowControl/>
        <w:jc w:val="left"/>
        <w:rPr>
          <w:rFonts w:ascii="宋体" w:hAnsi="宋体" w:eastAsia="宋体"/>
          <w:color w:val="auto"/>
          <w:highlight w:val="none"/>
        </w:rPr>
      </w:pPr>
    </w:p>
    <w:p w14:paraId="4CB2D757">
      <w:pPr>
        <w:pStyle w:val="3"/>
        <w:rPr>
          <w:color w:val="auto"/>
          <w:highlight w:val="none"/>
        </w:rPr>
      </w:pPr>
      <w:bookmarkStart w:id="307" w:name="_Toc10652"/>
      <w:bookmarkStart w:id="308" w:name="_Toc51055767"/>
      <w:bookmarkStart w:id="309" w:name="_Toc138236378"/>
      <w:bookmarkStart w:id="310" w:name="_Toc45266449"/>
      <w:r>
        <w:rPr>
          <w:rFonts w:hint="eastAsia"/>
          <w:color w:val="auto"/>
          <w:highlight w:val="none"/>
        </w:rPr>
        <w:t>附件二：问题澄清通知</w:t>
      </w:r>
      <w:bookmarkEnd w:id="307"/>
      <w:bookmarkEnd w:id="308"/>
      <w:bookmarkEnd w:id="309"/>
      <w:bookmarkEnd w:id="310"/>
    </w:p>
    <w:p w14:paraId="5D1688D2">
      <w:pPr>
        <w:spacing w:line="360" w:lineRule="auto"/>
        <w:ind w:right="-20"/>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问题澄</w:t>
      </w:r>
      <w:r>
        <w:rPr>
          <w:rFonts w:hint="eastAsia" w:ascii="宋体" w:hAnsi="宋体" w:eastAsia="宋体" w:cs="宋体"/>
          <w:color w:val="auto"/>
          <w:spacing w:val="-3"/>
          <w:sz w:val="24"/>
          <w:szCs w:val="24"/>
          <w:highlight w:val="none"/>
        </w:rPr>
        <w:t>清</w:t>
      </w:r>
      <w:r>
        <w:rPr>
          <w:rFonts w:hint="eastAsia" w:ascii="宋体" w:hAnsi="宋体" w:eastAsia="宋体" w:cs="宋体"/>
          <w:color w:val="auto"/>
          <w:sz w:val="24"/>
          <w:szCs w:val="24"/>
          <w:highlight w:val="none"/>
        </w:rPr>
        <w:t>通知</w:t>
      </w:r>
    </w:p>
    <w:p w14:paraId="76624F26">
      <w:pPr>
        <w:tabs>
          <w:tab w:val="left" w:pos="5740"/>
        </w:tabs>
        <w:spacing w:before="62" w:line="360" w:lineRule="auto"/>
        <w:ind w:left="2808" w:right="2811"/>
        <w:jc w:val="center"/>
        <w:rPr>
          <w:rFonts w:ascii="宋体" w:hAnsi="宋体" w:eastAsia="宋体" w:cs="宋体"/>
          <w:color w:val="auto"/>
          <w:position w:val="-4"/>
          <w:sz w:val="24"/>
          <w:szCs w:val="24"/>
          <w:highlight w:val="none"/>
        </w:rPr>
      </w:pPr>
      <w:r>
        <w:rPr>
          <w:rFonts w:hint="eastAsia" w:ascii="宋体" w:hAnsi="宋体" w:eastAsia="宋体" w:cs="宋体"/>
          <w:color w:val="auto"/>
          <w:position w:val="-4"/>
          <w:sz w:val="24"/>
          <w:szCs w:val="24"/>
          <w:highlight w:val="none"/>
        </w:rPr>
        <w:t>（编</w:t>
      </w:r>
      <w:r>
        <w:rPr>
          <w:rFonts w:hint="eastAsia" w:ascii="宋体" w:hAnsi="宋体" w:eastAsia="宋体" w:cs="宋体"/>
          <w:color w:val="auto"/>
          <w:spacing w:val="-2"/>
          <w:position w:val="-4"/>
          <w:sz w:val="24"/>
          <w:szCs w:val="24"/>
          <w:highlight w:val="none"/>
        </w:rPr>
        <w:t>号</w:t>
      </w:r>
      <w:r>
        <w:rPr>
          <w:rFonts w:hint="eastAsia" w:ascii="宋体" w:hAnsi="宋体" w:eastAsia="宋体" w:cs="宋体"/>
          <w:color w:val="auto"/>
          <w:position w:val="-4"/>
          <w:sz w:val="24"/>
          <w:szCs w:val="24"/>
          <w:highlight w:val="none"/>
        </w:rPr>
        <w:t>：</w:t>
      </w:r>
      <w:r>
        <w:rPr>
          <w:rFonts w:ascii="宋体" w:hAnsi="宋体" w:eastAsia="宋体" w:cs="宋体"/>
          <w:color w:val="auto"/>
          <w:position w:val="-4"/>
          <w:sz w:val="24"/>
          <w:szCs w:val="24"/>
          <w:highlight w:val="none"/>
          <w:u w:val="single"/>
        </w:rPr>
        <w:t xml:space="preserve"> </w:t>
      </w:r>
      <w:r>
        <w:rPr>
          <w:rFonts w:ascii="宋体" w:hAnsi="宋体" w:eastAsia="宋体" w:cs="宋体"/>
          <w:color w:val="auto"/>
          <w:spacing w:val="1"/>
          <w:position w:val="-4"/>
          <w:sz w:val="24"/>
          <w:szCs w:val="24"/>
          <w:highlight w:val="none"/>
          <w:u w:val="single"/>
        </w:rPr>
        <w:t xml:space="preserve">     </w:t>
      </w:r>
      <w:r>
        <w:rPr>
          <w:rFonts w:hint="eastAsia" w:ascii="宋体" w:hAnsi="宋体" w:eastAsia="宋体" w:cs="宋体"/>
          <w:color w:val="auto"/>
          <w:position w:val="-4"/>
          <w:sz w:val="24"/>
          <w:szCs w:val="24"/>
          <w:highlight w:val="none"/>
        </w:rPr>
        <w:t>）</w:t>
      </w:r>
    </w:p>
    <w:p w14:paraId="32DB807C">
      <w:pPr>
        <w:tabs>
          <w:tab w:val="left" w:pos="2300"/>
        </w:tabs>
        <w:spacing w:line="360" w:lineRule="auto"/>
        <w:ind w:left="100" w:right="-20"/>
        <w:rPr>
          <w:rFonts w:ascii="宋体" w:hAnsi="宋体" w:eastAsia="宋体" w:cs="宋体"/>
          <w:color w:val="auto"/>
          <w:sz w:val="24"/>
          <w:szCs w:val="24"/>
          <w:highlight w:val="none"/>
        </w:rPr>
      </w:pPr>
      <w:r>
        <w:rPr>
          <w:rFonts w:ascii="宋体" w:hAnsi="宋体" w:eastAsia="宋体" w:cs="宋体"/>
          <w:color w:val="auto"/>
          <w:w w:val="201"/>
          <w:position w:val="-2"/>
          <w:sz w:val="24"/>
          <w:szCs w:val="24"/>
          <w:highlight w:val="none"/>
          <w:u w:val="single"/>
        </w:rPr>
        <w:t xml:space="preserve"> </w:t>
      </w:r>
      <w:r>
        <w:rPr>
          <w:rFonts w:ascii="宋体" w:hAnsi="宋体" w:eastAsia="宋体" w:cs="宋体"/>
          <w:color w:val="auto"/>
          <w:position w:val="-2"/>
          <w:sz w:val="24"/>
          <w:szCs w:val="24"/>
          <w:highlight w:val="none"/>
          <w:u w:val="single"/>
        </w:rPr>
        <w:tab/>
      </w:r>
      <w:r>
        <w:rPr>
          <w:rFonts w:hint="eastAsia" w:ascii="宋体" w:hAnsi="宋体" w:eastAsia="宋体" w:cs="宋体"/>
          <w:color w:val="auto"/>
          <w:spacing w:val="-2"/>
          <w:position w:val="-2"/>
          <w:sz w:val="24"/>
          <w:szCs w:val="24"/>
          <w:highlight w:val="none"/>
        </w:rPr>
        <w:t>（</w:t>
      </w:r>
      <w:r>
        <w:rPr>
          <w:rFonts w:hint="eastAsia" w:ascii="宋体" w:hAnsi="宋体" w:eastAsia="宋体" w:cs="宋体"/>
          <w:color w:val="auto"/>
          <w:position w:val="-2"/>
          <w:sz w:val="24"/>
          <w:szCs w:val="24"/>
          <w:highlight w:val="none"/>
        </w:rPr>
        <w:t>投标</w:t>
      </w:r>
      <w:r>
        <w:rPr>
          <w:rFonts w:hint="eastAsia" w:ascii="宋体" w:hAnsi="宋体" w:eastAsia="宋体" w:cs="宋体"/>
          <w:color w:val="auto"/>
          <w:spacing w:val="-2"/>
          <w:position w:val="-2"/>
          <w:sz w:val="24"/>
          <w:szCs w:val="24"/>
          <w:highlight w:val="none"/>
        </w:rPr>
        <w:t>人</w:t>
      </w:r>
      <w:r>
        <w:rPr>
          <w:rFonts w:hint="eastAsia" w:ascii="宋体" w:hAnsi="宋体" w:eastAsia="宋体" w:cs="宋体"/>
          <w:color w:val="auto"/>
          <w:position w:val="-2"/>
          <w:sz w:val="24"/>
          <w:szCs w:val="24"/>
          <w:highlight w:val="none"/>
        </w:rPr>
        <w:t>名</w:t>
      </w:r>
      <w:r>
        <w:rPr>
          <w:rFonts w:hint="eastAsia" w:ascii="宋体" w:hAnsi="宋体" w:eastAsia="宋体" w:cs="宋体"/>
          <w:color w:val="auto"/>
          <w:spacing w:val="-2"/>
          <w:position w:val="-2"/>
          <w:sz w:val="24"/>
          <w:szCs w:val="24"/>
          <w:highlight w:val="none"/>
        </w:rPr>
        <w:t>称</w:t>
      </w:r>
      <w:r>
        <w:rPr>
          <w:rFonts w:hint="eastAsia" w:ascii="宋体" w:hAnsi="宋体" w:eastAsia="宋体" w:cs="宋体"/>
          <w:color w:val="auto"/>
          <w:spacing w:val="-106"/>
          <w:position w:val="-2"/>
          <w:sz w:val="24"/>
          <w:szCs w:val="24"/>
          <w:highlight w:val="none"/>
        </w:rPr>
        <w:t>）</w:t>
      </w:r>
      <w:r>
        <w:rPr>
          <w:rFonts w:hint="eastAsia" w:ascii="宋体" w:hAnsi="宋体" w:eastAsia="宋体" w:cs="宋体"/>
          <w:color w:val="auto"/>
          <w:position w:val="-2"/>
          <w:sz w:val="24"/>
          <w:szCs w:val="24"/>
          <w:highlight w:val="none"/>
        </w:rPr>
        <w:t>：</w:t>
      </w:r>
    </w:p>
    <w:p w14:paraId="7D5C68DF">
      <w:pPr>
        <w:spacing w:line="360" w:lineRule="auto"/>
        <w:ind w:right="-20" w:firstLine="424" w:firstLineChars="177"/>
        <w:rPr>
          <w:rFonts w:ascii="宋体" w:hAnsi="宋体" w:eastAsia="宋体" w:cs="宋体"/>
          <w:color w:val="auto"/>
          <w:sz w:val="24"/>
          <w:szCs w:val="24"/>
          <w:highlight w:val="none"/>
        </w:rPr>
      </w:pPr>
      <w:r>
        <w:rPr>
          <w:rFonts w:hint="eastAsia" w:ascii="宋体" w:hAnsi="宋体" w:eastAsia="宋体" w:cs="宋体"/>
          <w:color w:val="auto"/>
          <w:position w:val="-1"/>
          <w:sz w:val="24"/>
          <w:szCs w:val="24"/>
          <w:highlight w:val="none"/>
        </w:rPr>
        <w:t>评标委员会</w:t>
      </w:r>
      <w:r>
        <w:rPr>
          <w:rFonts w:hint="eastAsia" w:ascii="宋体" w:hAnsi="宋体" w:eastAsia="宋体" w:cs="宋体"/>
          <w:color w:val="auto"/>
          <w:spacing w:val="-2"/>
          <w:position w:val="-1"/>
          <w:sz w:val="24"/>
          <w:szCs w:val="24"/>
          <w:highlight w:val="none"/>
        </w:rPr>
        <w:t>对</w:t>
      </w:r>
      <w:r>
        <w:rPr>
          <w:rFonts w:hint="eastAsia" w:ascii="宋体" w:hAnsi="宋体" w:eastAsia="宋体" w:cs="宋体"/>
          <w:color w:val="auto"/>
          <w:position w:val="-1"/>
          <w:sz w:val="24"/>
          <w:szCs w:val="24"/>
          <w:highlight w:val="none"/>
        </w:rPr>
        <w:t>你方</w:t>
      </w:r>
      <w:r>
        <w:rPr>
          <w:rFonts w:hint="eastAsia" w:ascii="宋体" w:hAnsi="宋体" w:eastAsia="宋体" w:cs="宋体"/>
          <w:color w:val="auto"/>
          <w:spacing w:val="-2"/>
          <w:position w:val="-1"/>
          <w:sz w:val="24"/>
          <w:szCs w:val="24"/>
          <w:highlight w:val="none"/>
        </w:rPr>
        <w:t>的</w:t>
      </w:r>
      <w:r>
        <w:rPr>
          <w:rFonts w:hint="eastAsia" w:ascii="宋体" w:hAnsi="宋体" w:eastAsia="宋体" w:cs="宋体"/>
          <w:color w:val="auto"/>
          <w:position w:val="-1"/>
          <w:sz w:val="24"/>
          <w:szCs w:val="24"/>
          <w:highlight w:val="none"/>
        </w:rPr>
        <w:t>投标文件进行了</w:t>
      </w:r>
      <w:r>
        <w:rPr>
          <w:rFonts w:hint="eastAsia" w:ascii="宋体" w:hAnsi="宋体" w:eastAsia="宋体" w:cs="宋体"/>
          <w:color w:val="auto"/>
          <w:spacing w:val="-2"/>
          <w:position w:val="-1"/>
          <w:sz w:val="24"/>
          <w:szCs w:val="24"/>
          <w:highlight w:val="none"/>
        </w:rPr>
        <w:t>仔</w:t>
      </w:r>
      <w:r>
        <w:rPr>
          <w:rFonts w:hint="eastAsia" w:ascii="宋体" w:hAnsi="宋体" w:eastAsia="宋体" w:cs="宋体"/>
          <w:color w:val="auto"/>
          <w:position w:val="-1"/>
          <w:sz w:val="24"/>
          <w:szCs w:val="24"/>
          <w:highlight w:val="none"/>
        </w:rPr>
        <w:t>细的</w:t>
      </w:r>
      <w:r>
        <w:rPr>
          <w:rFonts w:hint="eastAsia" w:ascii="宋体" w:hAnsi="宋体" w:eastAsia="宋体" w:cs="宋体"/>
          <w:color w:val="auto"/>
          <w:spacing w:val="-2"/>
          <w:position w:val="-1"/>
          <w:sz w:val="24"/>
          <w:szCs w:val="24"/>
          <w:highlight w:val="none"/>
        </w:rPr>
        <w:t>审</w:t>
      </w:r>
      <w:r>
        <w:rPr>
          <w:rFonts w:hint="eastAsia" w:ascii="宋体" w:hAnsi="宋体" w:eastAsia="宋体" w:cs="宋体"/>
          <w:color w:val="auto"/>
          <w:position w:val="-1"/>
          <w:sz w:val="24"/>
          <w:szCs w:val="24"/>
          <w:highlight w:val="none"/>
        </w:rPr>
        <w:t>查，现需你方对</w:t>
      </w:r>
      <w:r>
        <w:rPr>
          <w:rFonts w:hint="eastAsia" w:ascii="宋体" w:hAnsi="宋体" w:eastAsia="宋体" w:cs="宋体"/>
          <w:color w:val="auto"/>
          <w:spacing w:val="-2"/>
          <w:position w:val="-1"/>
          <w:sz w:val="24"/>
          <w:szCs w:val="24"/>
          <w:highlight w:val="none"/>
        </w:rPr>
        <w:t>下</w:t>
      </w:r>
      <w:r>
        <w:rPr>
          <w:rFonts w:hint="eastAsia" w:ascii="宋体" w:hAnsi="宋体" w:eastAsia="宋体" w:cs="宋体"/>
          <w:color w:val="auto"/>
          <w:position w:val="-1"/>
          <w:sz w:val="24"/>
          <w:szCs w:val="24"/>
          <w:highlight w:val="none"/>
        </w:rPr>
        <w:t>列问</w:t>
      </w:r>
      <w:r>
        <w:rPr>
          <w:rFonts w:hint="eastAsia" w:ascii="宋体" w:hAnsi="宋体" w:eastAsia="宋体" w:cs="宋体"/>
          <w:color w:val="auto"/>
          <w:spacing w:val="-2"/>
          <w:position w:val="-1"/>
          <w:sz w:val="24"/>
          <w:szCs w:val="24"/>
          <w:highlight w:val="none"/>
        </w:rPr>
        <w:t>题</w:t>
      </w:r>
      <w:r>
        <w:rPr>
          <w:rFonts w:hint="eastAsia" w:ascii="宋体" w:hAnsi="宋体" w:eastAsia="宋体" w:cs="宋体"/>
          <w:color w:val="auto"/>
          <w:position w:val="-1"/>
          <w:sz w:val="24"/>
          <w:szCs w:val="24"/>
          <w:highlight w:val="none"/>
        </w:rPr>
        <w:t>以书面形式予</w:t>
      </w:r>
      <w:r>
        <w:rPr>
          <w:rFonts w:hint="eastAsia" w:ascii="宋体" w:hAnsi="宋体" w:eastAsia="宋体" w:cs="宋体"/>
          <w:color w:val="auto"/>
          <w:spacing w:val="-2"/>
          <w:position w:val="-1"/>
          <w:sz w:val="24"/>
          <w:szCs w:val="24"/>
          <w:highlight w:val="none"/>
        </w:rPr>
        <w:t>以</w:t>
      </w:r>
      <w:r>
        <w:rPr>
          <w:rFonts w:hint="eastAsia" w:ascii="宋体" w:hAnsi="宋体" w:eastAsia="宋体" w:cs="宋体"/>
          <w:color w:val="auto"/>
          <w:position w:val="-1"/>
          <w:sz w:val="24"/>
          <w:szCs w:val="24"/>
          <w:highlight w:val="none"/>
        </w:rPr>
        <w:t>澄</w:t>
      </w:r>
      <w:r>
        <w:rPr>
          <w:rFonts w:hint="eastAsia" w:ascii="宋体" w:hAnsi="宋体" w:eastAsia="宋体" w:cs="宋体"/>
          <w:color w:val="auto"/>
          <w:sz w:val="24"/>
          <w:szCs w:val="24"/>
          <w:highlight w:val="none"/>
        </w:rPr>
        <w:t>清、</w:t>
      </w:r>
      <w:r>
        <w:rPr>
          <w:rFonts w:hint="eastAsia" w:ascii="宋体" w:hAnsi="宋体" w:eastAsia="宋体" w:cs="宋体"/>
          <w:color w:val="auto"/>
          <w:spacing w:val="-2"/>
          <w:sz w:val="24"/>
          <w:szCs w:val="24"/>
          <w:highlight w:val="none"/>
        </w:rPr>
        <w:t>说</w:t>
      </w:r>
      <w:r>
        <w:rPr>
          <w:rFonts w:hint="eastAsia" w:ascii="宋体" w:hAnsi="宋体" w:eastAsia="宋体" w:cs="宋体"/>
          <w:color w:val="auto"/>
          <w:sz w:val="24"/>
          <w:szCs w:val="24"/>
          <w:highlight w:val="none"/>
        </w:rPr>
        <w:t>明</w:t>
      </w:r>
      <w:r>
        <w:rPr>
          <w:rFonts w:hint="eastAsia" w:ascii="宋体" w:hAnsi="宋体" w:eastAsia="宋体" w:cs="宋体"/>
          <w:color w:val="auto"/>
          <w:spacing w:val="-2"/>
          <w:sz w:val="24"/>
          <w:szCs w:val="24"/>
          <w:highlight w:val="none"/>
        </w:rPr>
        <w:t>或</w:t>
      </w:r>
      <w:r>
        <w:rPr>
          <w:rFonts w:hint="eastAsia" w:ascii="宋体" w:hAnsi="宋体" w:eastAsia="宋体" w:cs="宋体"/>
          <w:color w:val="auto"/>
          <w:sz w:val="24"/>
          <w:szCs w:val="24"/>
          <w:highlight w:val="none"/>
        </w:rPr>
        <w:t>补</w:t>
      </w:r>
      <w:r>
        <w:rPr>
          <w:rFonts w:hint="eastAsia" w:ascii="宋体" w:hAnsi="宋体" w:eastAsia="宋体" w:cs="宋体"/>
          <w:color w:val="auto"/>
          <w:spacing w:val="-2"/>
          <w:sz w:val="24"/>
          <w:szCs w:val="24"/>
          <w:highlight w:val="none"/>
        </w:rPr>
        <w:t>正</w:t>
      </w:r>
      <w:r>
        <w:rPr>
          <w:rFonts w:hint="eastAsia" w:ascii="宋体" w:hAnsi="宋体" w:eastAsia="宋体" w:cs="宋体"/>
          <w:color w:val="auto"/>
          <w:sz w:val="24"/>
          <w:szCs w:val="24"/>
          <w:highlight w:val="none"/>
        </w:rPr>
        <w:t>：</w:t>
      </w:r>
    </w:p>
    <w:p w14:paraId="6A82E790">
      <w:pPr>
        <w:spacing w:line="360" w:lineRule="auto"/>
        <w:ind w:right="-20" w:firstLine="424" w:firstLineChars="177"/>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p w14:paraId="3F9E13A6">
      <w:pPr>
        <w:spacing w:line="360" w:lineRule="auto"/>
        <w:ind w:right="-20" w:firstLine="424" w:firstLineChars="177"/>
        <w:rPr>
          <w:rFonts w:ascii="宋体" w:hAnsi="宋体" w:eastAsia="宋体" w:cs="宋体"/>
          <w:color w:val="auto"/>
          <w:sz w:val="24"/>
          <w:szCs w:val="24"/>
          <w:highlight w:val="none"/>
        </w:rPr>
      </w:pPr>
      <w:r>
        <w:rPr>
          <w:rFonts w:ascii="宋体" w:hAnsi="宋体" w:eastAsia="宋体" w:cs="宋体"/>
          <w:color w:val="auto"/>
          <w:sz w:val="24"/>
          <w:szCs w:val="24"/>
          <w:highlight w:val="none"/>
        </w:rPr>
        <w:t>2.</w:t>
      </w:r>
    </w:p>
    <w:p w14:paraId="1E0589BF">
      <w:pPr>
        <w:spacing w:line="360" w:lineRule="auto"/>
        <w:ind w:right="-20" w:firstLine="424" w:firstLineChars="177"/>
        <w:rPr>
          <w:rFonts w:ascii="宋体" w:hAnsi="宋体" w:eastAsia="宋体" w:cs="宋体"/>
          <w:color w:val="auto"/>
          <w:sz w:val="24"/>
          <w:szCs w:val="24"/>
          <w:highlight w:val="none"/>
        </w:rPr>
      </w:pPr>
      <w:r>
        <w:rPr>
          <w:rFonts w:ascii="宋体" w:hAnsi="宋体" w:eastAsia="宋体" w:cs="宋体"/>
          <w:color w:val="auto"/>
          <w:sz w:val="24"/>
          <w:szCs w:val="24"/>
          <w:highlight w:val="none"/>
        </w:rPr>
        <w:t>.</w:t>
      </w:r>
      <w:r>
        <w:rPr>
          <w:rFonts w:ascii="宋体" w:hAnsi="宋体" w:eastAsia="宋体" w:cs="宋体"/>
          <w:color w:val="auto"/>
          <w:spacing w:val="-2"/>
          <w:sz w:val="24"/>
          <w:szCs w:val="24"/>
          <w:highlight w:val="none"/>
        </w:rPr>
        <w:t>.</w:t>
      </w:r>
      <w:r>
        <w:rPr>
          <w:rFonts w:ascii="宋体" w:hAnsi="宋体" w:eastAsia="宋体" w:cs="宋体"/>
          <w:color w:val="auto"/>
          <w:sz w:val="24"/>
          <w:szCs w:val="24"/>
          <w:highlight w:val="none"/>
        </w:rPr>
        <w:t>....</w:t>
      </w:r>
    </w:p>
    <w:p w14:paraId="74074231">
      <w:pPr>
        <w:tabs>
          <w:tab w:val="left" w:pos="4600"/>
          <w:tab w:val="left" w:pos="5540"/>
          <w:tab w:val="left" w:pos="6480"/>
          <w:tab w:val="left" w:pos="7420"/>
        </w:tabs>
        <w:spacing w:line="360" w:lineRule="auto"/>
        <w:ind w:right="-20" w:firstLine="283" w:firstLineChars="118"/>
        <w:rPr>
          <w:rFonts w:ascii="宋体" w:hAnsi="宋体" w:eastAsia="宋体" w:cs="宋体"/>
          <w:color w:val="auto"/>
          <w:sz w:val="24"/>
          <w:szCs w:val="24"/>
          <w:highlight w:val="none"/>
        </w:rPr>
      </w:pPr>
      <w:r>
        <w:rPr>
          <w:rFonts w:hint="eastAsia" w:ascii="宋体" w:hAnsi="宋体" w:eastAsia="宋体" w:cs="宋体"/>
          <w:color w:val="auto"/>
          <w:position w:val="-4"/>
          <w:sz w:val="24"/>
          <w:szCs w:val="24"/>
          <w:highlight w:val="none"/>
        </w:rPr>
        <w:t>请将</w:t>
      </w:r>
      <w:r>
        <w:rPr>
          <w:rFonts w:hint="eastAsia" w:ascii="宋体" w:hAnsi="宋体" w:eastAsia="宋体" w:cs="宋体"/>
          <w:color w:val="auto"/>
          <w:spacing w:val="-2"/>
          <w:position w:val="-4"/>
          <w:sz w:val="24"/>
          <w:szCs w:val="24"/>
          <w:highlight w:val="none"/>
        </w:rPr>
        <w:t>上</w:t>
      </w:r>
      <w:r>
        <w:rPr>
          <w:rFonts w:hint="eastAsia" w:ascii="宋体" w:hAnsi="宋体" w:eastAsia="宋体" w:cs="宋体"/>
          <w:color w:val="auto"/>
          <w:position w:val="-4"/>
          <w:sz w:val="24"/>
          <w:szCs w:val="24"/>
          <w:highlight w:val="none"/>
        </w:rPr>
        <w:t>述</w:t>
      </w:r>
      <w:r>
        <w:rPr>
          <w:rFonts w:hint="eastAsia" w:ascii="宋体" w:hAnsi="宋体" w:eastAsia="宋体" w:cs="宋体"/>
          <w:color w:val="auto"/>
          <w:spacing w:val="-2"/>
          <w:position w:val="-4"/>
          <w:sz w:val="24"/>
          <w:szCs w:val="24"/>
          <w:highlight w:val="none"/>
        </w:rPr>
        <w:t>问</w:t>
      </w:r>
      <w:r>
        <w:rPr>
          <w:rFonts w:hint="eastAsia" w:ascii="宋体" w:hAnsi="宋体" w:eastAsia="宋体" w:cs="宋体"/>
          <w:color w:val="auto"/>
          <w:position w:val="-4"/>
          <w:sz w:val="24"/>
          <w:szCs w:val="24"/>
          <w:highlight w:val="none"/>
        </w:rPr>
        <w:t>题</w:t>
      </w:r>
      <w:r>
        <w:rPr>
          <w:rFonts w:hint="eastAsia" w:ascii="宋体" w:hAnsi="宋体" w:eastAsia="宋体" w:cs="宋体"/>
          <w:color w:val="auto"/>
          <w:spacing w:val="-2"/>
          <w:position w:val="-4"/>
          <w:sz w:val="24"/>
          <w:szCs w:val="24"/>
          <w:highlight w:val="none"/>
        </w:rPr>
        <w:t>的</w:t>
      </w:r>
      <w:r>
        <w:rPr>
          <w:rFonts w:hint="eastAsia" w:ascii="宋体" w:hAnsi="宋体" w:eastAsia="宋体" w:cs="宋体"/>
          <w:color w:val="auto"/>
          <w:position w:val="-4"/>
          <w:sz w:val="24"/>
          <w:szCs w:val="24"/>
          <w:highlight w:val="none"/>
        </w:rPr>
        <w:t>澄</w:t>
      </w:r>
      <w:r>
        <w:rPr>
          <w:rFonts w:hint="eastAsia" w:ascii="宋体" w:hAnsi="宋体" w:eastAsia="宋体" w:cs="宋体"/>
          <w:color w:val="auto"/>
          <w:spacing w:val="-2"/>
          <w:position w:val="-4"/>
          <w:sz w:val="24"/>
          <w:szCs w:val="24"/>
          <w:highlight w:val="none"/>
        </w:rPr>
        <w:t>清</w:t>
      </w:r>
      <w:r>
        <w:rPr>
          <w:rFonts w:hint="eastAsia" w:ascii="宋体" w:hAnsi="宋体" w:eastAsia="宋体" w:cs="宋体"/>
          <w:color w:val="auto"/>
          <w:position w:val="-4"/>
          <w:sz w:val="24"/>
          <w:szCs w:val="24"/>
          <w:highlight w:val="none"/>
        </w:rPr>
        <w:t>、</w:t>
      </w:r>
      <w:r>
        <w:rPr>
          <w:rFonts w:hint="eastAsia" w:ascii="宋体" w:hAnsi="宋体" w:eastAsia="宋体" w:cs="宋体"/>
          <w:color w:val="auto"/>
          <w:spacing w:val="-2"/>
          <w:position w:val="-4"/>
          <w:sz w:val="24"/>
          <w:szCs w:val="24"/>
          <w:highlight w:val="none"/>
        </w:rPr>
        <w:t>说</w:t>
      </w:r>
      <w:r>
        <w:rPr>
          <w:rFonts w:hint="eastAsia" w:ascii="宋体" w:hAnsi="宋体" w:eastAsia="宋体" w:cs="宋体"/>
          <w:color w:val="auto"/>
          <w:position w:val="-4"/>
          <w:sz w:val="24"/>
          <w:szCs w:val="24"/>
          <w:highlight w:val="none"/>
        </w:rPr>
        <w:t>明或</w:t>
      </w:r>
      <w:r>
        <w:rPr>
          <w:rFonts w:hint="eastAsia" w:ascii="宋体" w:hAnsi="宋体" w:eastAsia="宋体" w:cs="宋体"/>
          <w:color w:val="auto"/>
          <w:spacing w:val="-2"/>
          <w:position w:val="-4"/>
          <w:sz w:val="24"/>
          <w:szCs w:val="24"/>
          <w:highlight w:val="none"/>
        </w:rPr>
        <w:t>补</w:t>
      </w:r>
      <w:r>
        <w:rPr>
          <w:rFonts w:hint="eastAsia" w:ascii="宋体" w:hAnsi="宋体" w:eastAsia="宋体" w:cs="宋体"/>
          <w:color w:val="auto"/>
          <w:position w:val="-4"/>
          <w:sz w:val="24"/>
          <w:szCs w:val="24"/>
          <w:highlight w:val="none"/>
        </w:rPr>
        <w:t>正</w:t>
      </w:r>
      <w:r>
        <w:rPr>
          <w:rFonts w:hint="eastAsia" w:ascii="宋体" w:hAnsi="宋体" w:eastAsia="宋体" w:cs="宋体"/>
          <w:color w:val="auto"/>
          <w:spacing w:val="-2"/>
          <w:position w:val="-4"/>
          <w:sz w:val="24"/>
          <w:szCs w:val="24"/>
          <w:highlight w:val="none"/>
        </w:rPr>
        <w:t>于</w:t>
      </w:r>
      <w:r>
        <w:rPr>
          <w:rFonts w:ascii="宋体" w:hAnsi="宋体" w:eastAsia="宋体" w:cs="宋体"/>
          <w:color w:val="auto"/>
          <w:position w:val="-4"/>
          <w:sz w:val="24"/>
          <w:szCs w:val="24"/>
          <w:highlight w:val="none"/>
          <w:u w:val="single"/>
        </w:rPr>
        <w:t xml:space="preserve"> </w:t>
      </w:r>
      <w:r>
        <w:rPr>
          <w:rFonts w:ascii="宋体" w:hAnsi="宋体" w:eastAsia="宋体" w:cs="宋体"/>
          <w:color w:val="auto"/>
          <w:spacing w:val="1"/>
          <w:position w:val="-4"/>
          <w:sz w:val="24"/>
          <w:szCs w:val="24"/>
          <w:highlight w:val="none"/>
          <w:u w:val="single"/>
        </w:rPr>
        <w:t xml:space="preserve"> </w:t>
      </w:r>
      <w:r>
        <w:rPr>
          <w:rFonts w:ascii="宋体" w:hAnsi="宋体" w:eastAsia="宋体" w:cs="宋体"/>
          <w:color w:val="auto"/>
          <w:position w:val="-4"/>
          <w:sz w:val="24"/>
          <w:szCs w:val="24"/>
          <w:highlight w:val="none"/>
          <w:u w:val="single"/>
        </w:rPr>
        <w:tab/>
      </w:r>
      <w:r>
        <w:rPr>
          <w:rFonts w:hint="eastAsia" w:ascii="宋体" w:hAnsi="宋体" w:eastAsia="宋体" w:cs="宋体"/>
          <w:color w:val="auto"/>
          <w:position w:val="-4"/>
          <w:sz w:val="24"/>
          <w:szCs w:val="24"/>
          <w:highlight w:val="none"/>
        </w:rPr>
        <w:t>年</w:t>
      </w:r>
      <w:r>
        <w:rPr>
          <w:rFonts w:ascii="宋体" w:hAnsi="宋体" w:eastAsia="宋体" w:cs="宋体"/>
          <w:color w:val="auto"/>
          <w:position w:val="-4"/>
          <w:sz w:val="24"/>
          <w:szCs w:val="24"/>
          <w:highlight w:val="none"/>
          <w:u w:val="single"/>
        </w:rPr>
        <w:t xml:space="preserve"> </w:t>
      </w:r>
      <w:r>
        <w:rPr>
          <w:rFonts w:ascii="宋体" w:hAnsi="宋体" w:eastAsia="宋体" w:cs="宋体"/>
          <w:color w:val="auto"/>
          <w:spacing w:val="1"/>
          <w:position w:val="-4"/>
          <w:sz w:val="24"/>
          <w:szCs w:val="24"/>
          <w:highlight w:val="none"/>
          <w:u w:val="single"/>
        </w:rPr>
        <w:t xml:space="preserve"> </w:t>
      </w:r>
      <w:r>
        <w:rPr>
          <w:rFonts w:ascii="宋体" w:hAnsi="宋体" w:eastAsia="宋体" w:cs="宋体"/>
          <w:color w:val="auto"/>
          <w:position w:val="-4"/>
          <w:sz w:val="24"/>
          <w:szCs w:val="24"/>
          <w:highlight w:val="none"/>
          <w:u w:val="single"/>
        </w:rPr>
        <w:tab/>
      </w:r>
      <w:r>
        <w:rPr>
          <w:rFonts w:hint="eastAsia" w:ascii="宋体" w:hAnsi="宋体" w:eastAsia="宋体" w:cs="宋体"/>
          <w:color w:val="auto"/>
          <w:position w:val="-4"/>
          <w:sz w:val="24"/>
          <w:szCs w:val="24"/>
          <w:highlight w:val="none"/>
        </w:rPr>
        <w:t>月</w:t>
      </w:r>
      <w:r>
        <w:rPr>
          <w:rFonts w:ascii="宋体" w:hAnsi="宋体" w:eastAsia="宋体" w:cs="宋体"/>
          <w:color w:val="auto"/>
          <w:position w:val="-4"/>
          <w:sz w:val="24"/>
          <w:szCs w:val="24"/>
          <w:highlight w:val="none"/>
          <w:u w:val="single"/>
        </w:rPr>
        <w:t xml:space="preserve"> </w:t>
      </w:r>
      <w:r>
        <w:rPr>
          <w:rFonts w:ascii="宋体" w:hAnsi="宋体" w:eastAsia="宋体" w:cs="宋体"/>
          <w:color w:val="auto"/>
          <w:spacing w:val="1"/>
          <w:position w:val="-4"/>
          <w:sz w:val="24"/>
          <w:szCs w:val="24"/>
          <w:highlight w:val="none"/>
          <w:u w:val="single"/>
        </w:rPr>
        <w:t xml:space="preserve"> </w:t>
      </w:r>
      <w:r>
        <w:rPr>
          <w:rFonts w:ascii="宋体" w:hAnsi="宋体" w:eastAsia="宋体" w:cs="宋体"/>
          <w:color w:val="auto"/>
          <w:position w:val="-4"/>
          <w:sz w:val="24"/>
          <w:szCs w:val="24"/>
          <w:highlight w:val="none"/>
          <w:u w:val="single"/>
        </w:rPr>
        <w:tab/>
      </w:r>
      <w:r>
        <w:rPr>
          <w:rFonts w:hint="eastAsia" w:ascii="宋体" w:hAnsi="宋体" w:eastAsia="宋体" w:cs="宋体"/>
          <w:color w:val="auto"/>
          <w:spacing w:val="-2"/>
          <w:position w:val="-4"/>
          <w:sz w:val="24"/>
          <w:szCs w:val="24"/>
          <w:highlight w:val="none"/>
        </w:rPr>
        <w:t>日</w:t>
      </w:r>
      <w:r>
        <w:rPr>
          <w:rFonts w:ascii="宋体" w:hAnsi="宋体" w:eastAsia="宋体" w:cs="宋体"/>
          <w:color w:val="auto"/>
          <w:position w:val="-4"/>
          <w:sz w:val="24"/>
          <w:szCs w:val="24"/>
          <w:highlight w:val="none"/>
          <w:u w:val="single"/>
        </w:rPr>
        <w:t xml:space="preserve"> </w:t>
      </w:r>
      <w:r>
        <w:rPr>
          <w:rFonts w:ascii="宋体" w:hAnsi="宋体" w:eastAsia="宋体" w:cs="宋体"/>
          <w:color w:val="auto"/>
          <w:spacing w:val="1"/>
          <w:position w:val="-4"/>
          <w:sz w:val="24"/>
          <w:szCs w:val="24"/>
          <w:highlight w:val="none"/>
          <w:u w:val="single"/>
        </w:rPr>
        <w:t xml:space="preserve"> </w:t>
      </w:r>
      <w:r>
        <w:rPr>
          <w:rFonts w:ascii="宋体" w:hAnsi="宋体" w:eastAsia="宋体" w:cs="宋体"/>
          <w:color w:val="auto"/>
          <w:position w:val="-4"/>
          <w:sz w:val="24"/>
          <w:szCs w:val="24"/>
          <w:highlight w:val="none"/>
          <w:u w:val="single"/>
        </w:rPr>
        <w:tab/>
      </w:r>
      <w:r>
        <w:rPr>
          <w:rFonts w:hint="eastAsia" w:ascii="宋体" w:hAnsi="宋体" w:eastAsia="宋体" w:cs="宋体"/>
          <w:color w:val="auto"/>
          <w:spacing w:val="-2"/>
          <w:position w:val="-4"/>
          <w:sz w:val="24"/>
          <w:szCs w:val="24"/>
          <w:highlight w:val="none"/>
        </w:rPr>
        <w:t>时</w:t>
      </w:r>
      <w:r>
        <w:rPr>
          <w:rFonts w:hint="eastAsia" w:ascii="宋体" w:hAnsi="宋体" w:eastAsia="宋体" w:cs="宋体"/>
          <w:color w:val="auto"/>
          <w:position w:val="-4"/>
          <w:sz w:val="24"/>
          <w:szCs w:val="24"/>
          <w:highlight w:val="none"/>
        </w:rPr>
        <w:t>前发送至</w:t>
      </w:r>
      <w:r>
        <w:rPr>
          <w:rFonts w:ascii="宋体" w:hAnsi="宋体" w:eastAsia="宋体" w:cs="宋体"/>
          <w:color w:val="auto"/>
          <w:w w:val="201"/>
          <w:position w:val="-2"/>
          <w:sz w:val="24"/>
          <w:szCs w:val="24"/>
          <w:highlight w:val="none"/>
          <w:u w:val="single"/>
        </w:rPr>
        <w:t xml:space="preserve"> </w:t>
      </w:r>
      <w:r>
        <w:rPr>
          <w:rFonts w:ascii="宋体" w:hAnsi="宋体" w:eastAsia="宋体" w:cs="宋体"/>
          <w:color w:val="auto"/>
          <w:position w:val="-2"/>
          <w:sz w:val="24"/>
          <w:szCs w:val="24"/>
          <w:highlight w:val="none"/>
          <w:u w:val="single"/>
        </w:rPr>
        <w:tab/>
      </w:r>
      <w:r>
        <w:rPr>
          <w:rFonts w:hint="eastAsia" w:ascii="宋体" w:hAnsi="宋体" w:eastAsia="宋体" w:cs="宋体"/>
          <w:color w:val="auto"/>
          <w:position w:val="-2"/>
          <w:sz w:val="24"/>
          <w:szCs w:val="24"/>
          <w:highlight w:val="none"/>
        </w:rPr>
        <w:t>邮箱</w:t>
      </w:r>
      <w:r>
        <w:rPr>
          <w:rFonts w:hint="eastAsia" w:ascii="宋体" w:hAnsi="宋体" w:eastAsia="宋体" w:cs="宋体"/>
          <w:color w:val="auto"/>
          <w:spacing w:val="-2"/>
          <w:position w:val="-2"/>
          <w:sz w:val="24"/>
          <w:szCs w:val="24"/>
          <w:highlight w:val="none"/>
        </w:rPr>
        <w:t>。</w:t>
      </w:r>
    </w:p>
    <w:p w14:paraId="44E9CD9A">
      <w:pPr>
        <w:spacing w:before="9" w:line="360" w:lineRule="auto"/>
        <w:rPr>
          <w:rFonts w:ascii="宋体" w:hAnsi="宋体" w:eastAsia="宋体" w:cs="宋体"/>
          <w:color w:val="auto"/>
          <w:sz w:val="24"/>
          <w:szCs w:val="24"/>
          <w:highlight w:val="none"/>
        </w:rPr>
      </w:pPr>
      <w:r>
        <w:rPr>
          <w:rFonts w:ascii="宋体" w:hAnsi="宋体" w:eastAsia="宋体" w:cs="宋体"/>
          <w:color w:val="auto"/>
          <w:sz w:val="24"/>
          <w:szCs w:val="24"/>
          <w:highlight w:val="none"/>
        </w:rPr>
        <w:t xml:space="preserve"> </w:t>
      </w:r>
    </w:p>
    <w:p w14:paraId="76BCF463">
      <w:pPr>
        <w:spacing w:before="9" w:line="360" w:lineRule="auto"/>
        <w:rPr>
          <w:rFonts w:ascii="宋体" w:hAnsi="宋体" w:eastAsia="宋体" w:cs="宋体"/>
          <w:color w:val="auto"/>
          <w:sz w:val="24"/>
          <w:szCs w:val="24"/>
          <w:highlight w:val="none"/>
        </w:rPr>
      </w:pPr>
    </w:p>
    <w:p w14:paraId="3D07968A">
      <w:pPr>
        <w:tabs>
          <w:tab w:val="left" w:pos="7020"/>
        </w:tabs>
        <w:spacing w:line="360" w:lineRule="auto"/>
        <w:ind w:right="-20" w:firstLine="708" w:firstLineChars="295"/>
        <w:rPr>
          <w:rFonts w:ascii="宋体" w:hAnsi="宋体" w:eastAsia="宋体" w:cs="宋体"/>
          <w:color w:val="auto"/>
          <w:position w:val="-2"/>
          <w:sz w:val="24"/>
          <w:szCs w:val="24"/>
          <w:highlight w:val="none"/>
        </w:rPr>
      </w:pPr>
      <w:r>
        <w:rPr>
          <w:rFonts w:hint="eastAsia" w:ascii="宋体" w:hAnsi="宋体" w:eastAsia="宋体" w:cs="宋体"/>
          <w:color w:val="auto"/>
          <w:position w:val="-2"/>
          <w:sz w:val="24"/>
          <w:szCs w:val="24"/>
          <w:highlight w:val="none"/>
        </w:rPr>
        <w:t>评标</w:t>
      </w:r>
      <w:r>
        <w:rPr>
          <w:rFonts w:hint="eastAsia" w:ascii="宋体" w:hAnsi="宋体" w:eastAsia="宋体" w:cs="宋体"/>
          <w:color w:val="auto"/>
          <w:spacing w:val="-2"/>
          <w:position w:val="-2"/>
          <w:sz w:val="24"/>
          <w:szCs w:val="24"/>
          <w:highlight w:val="none"/>
        </w:rPr>
        <w:t>委</w:t>
      </w:r>
      <w:r>
        <w:rPr>
          <w:rFonts w:hint="eastAsia" w:ascii="宋体" w:hAnsi="宋体" w:eastAsia="宋体" w:cs="宋体"/>
          <w:color w:val="auto"/>
          <w:position w:val="-2"/>
          <w:sz w:val="24"/>
          <w:szCs w:val="24"/>
          <w:highlight w:val="none"/>
        </w:rPr>
        <w:t>员</w:t>
      </w:r>
      <w:r>
        <w:rPr>
          <w:rFonts w:hint="eastAsia" w:ascii="宋体" w:hAnsi="宋体" w:eastAsia="宋体" w:cs="宋体"/>
          <w:color w:val="auto"/>
          <w:spacing w:val="-2"/>
          <w:position w:val="-2"/>
          <w:sz w:val="24"/>
          <w:szCs w:val="24"/>
          <w:highlight w:val="none"/>
        </w:rPr>
        <w:t>会</w:t>
      </w:r>
      <w:r>
        <w:rPr>
          <w:rFonts w:hint="eastAsia" w:ascii="宋体" w:hAnsi="宋体" w:eastAsia="宋体" w:cs="宋体"/>
          <w:color w:val="auto"/>
          <w:position w:val="-2"/>
          <w:sz w:val="24"/>
          <w:szCs w:val="24"/>
          <w:highlight w:val="none"/>
        </w:rPr>
        <w:t>授</w:t>
      </w:r>
      <w:r>
        <w:rPr>
          <w:rFonts w:hint="eastAsia" w:ascii="宋体" w:hAnsi="宋体" w:eastAsia="宋体" w:cs="宋体"/>
          <w:color w:val="auto"/>
          <w:spacing w:val="-2"/>
          <w:position w:val="-2"/>
          <w:sz w:val="24"/>
          <w:szCs w:val="24"/>
          <w:highlight w:val="none"/>
        </w:rPr>
        <w:t>权</w:t>
      </w:r>
      <w:r>
        <w:rPr>
          <w:rFonts w:hint="eastAsia" w:ascii="宋体" w:hAnsi="宋体" w:eastAsia="宋体" w:cs="宋体"/>
          <w:color w:val="auto"/>
          <w:position w:val="-2"/>
          <w:sz w:val="24"/>
          <w:szCs w:val="24"/>
          <w:highlight w:val="none"/>
        </w:rPr>
        <w:t>的</w:t>
      </w:r>
      <w:r>
        <w:rPr>
          <w:rFonts w:hint="eastAsia" w:ascii="宋体" w:hAnsi="宋体" w:eastAsia="宋体" w:cs="宋体"/>
          <w:color w:val="auto"/>
          <w:spacing w:val="-2"/>
          <w:position w:val="-2"/>
          <w:sz w:val="24"/>
          <w:szCs w:val="24"/>
          <w:highlight w:val="none"/>
        </w:rPr>
        <w:t>招</w:t>
      </w:r>
      <w:r>
        <w:rPr>
          <w:rFonts w:hint="eastAsia" w:ascii="宋体" w:hAnsi="宋体" w:eastAsia="宋体" w:cs="宋体"/>
          <w:color w:val="auto"/>
          <w:position w:val="-2"/>
          <w:sz w:val="24"/>
          <w:szCs w:val="24"/>
          <w:highlight w:val="none"/>
        </w:rPr>
        <w:t>标</w:t>
      </w:r>
      <w:r>
        <w:rPr>
          <w:rFonts w:hint="eastAsia" w:ascii="宋体" w:hAnsi="宋体" w:eastAsia="宋体" w:cs="宋体"/>
          <w:color w:val="auto"/>
          <w:spacing w:val="-2"/>
          <w:position w:val="-2"/>
          <w:sz w:val="24"/>
          <w:szCs w:val="24"/>
          <w:highlight w:val="none"/>
        </w:rPr>
        <w:t>人</w:t>
      </w:r>
      <w:r>
        <w:rPr>
          <w:rFonts w:hint="eastAsia" w:ascii="宋体" w:hAnsi="宋体" w:eastAsia="宋体" w:cs="宋体"/>
          <w:color w:val="auto"/>
          <w:position w:val="-2"/>
          <w:sz w:val="24"/>
          <w:szCs w:val="24"/>
          <w:highlight w:val="none"/>
        </w:rPr>
        <w:t>或招</w:t>
      </w:r>
      <w:r>
        <w:rPr>
          <w:rFonts w:hint="eastAsia" w:ascii="宋体" w:hAnsi="宋体" w:eastAsia="宋体" w:cs="宋体"/>
          <w:color w:val="auto"/>
          <w:spacing w:val="-2"/>
          <w:position w:val="-2"/>
          <w:sz w:val="24"/>
          <w:szCs w:val="24"/>
          <w:highlight w:val="none"/>
        </w:rPr>
        <w:t>标</w:t>
      </w:r>
      <w:r>
        <w:rPr>
          <w:rFonts w:hint="eastAsia" w:ascii="宋体" w:hAnsi="宋体" w:eastAsia="宋体" w:cs="宋体"/>
          <w:color w:val="auto"/>
          <w:position w:val="-2"/>
          <w:sz w:val="24"/>
          <w:szCs w:val="24"/>
          <w:highlight w:val="none"/>
        </w:rPr>
        <w:t>代</w:t>
      </w:r>
      <w:r>
        <w:rPr>
          <w:rFonts w:hint="eastAsia" w:ascii="宋体" w:hAnsi="宋体" w:eastAsia="宋体" w:cs="宋体"/>
          <w:color w:val="auto"/>
          <w:spacing w:val="-2"/>
          <w:position w:val="-2"/>
          <w:sz w:val="24"/>
          <w:szCs w:val="24"/>
          <w:highlight w:val="none"/>
        </w:rPr>
        <w:t>理</w:t>
      </w:r>
      <w:r>
        <w:rPr>
          <w:rFonts w:hint="eastAsia" w:ascii="宋体" w:hAnsi="宋体" w:eastAsia="宋体" w:cs="宋体"/>
          <w:color w:val="auto"/>
          <w:position w:val="-2"/>
          <w:sz w:val="24"/>
          <w:szCs w:val="24"/>
          <w:highlight w:val="none"/>
        </w:rPr>
        <w:t>机</w:t>
      </w:r>
      <w:r>
        <w:rPr>
          <w:rFonts w:hint="eastAsia" w:ascii="宋体" w:hAnsi="宋体" w:eastAsia="宋体" w:cs="宋体"/>
          <w:color w:val="auto"/>
          <w:spacing w:val="-2"/>
          <w:position w:val="-2"/>
          <w:sz w:val="24"/>
          <w:szCs w:val="24"/>
          <w:highlight w:val="none"/>
        </w:rPr>
        <w:t>构</w:t>
      </w:r>
      <w:r>
        <w:rPr>
          <w:rFonts w:hint="eastAsia" w:ascii="宋体" w:hAnsi="宋体" w:eastAsia="宋体" w:cs="宋体"/>
          <w:color w:val="auto"/>
          <w:position w:val="-2"/>
          <w:sz w:val="24"/>
          <w:szCs w:val="24"/>
          <w:highlight w:val="none"/>
        </w:rPr>
        <w:t>：</w:t>
      </w:r>
      <w:r>
        <w:rPr>
          <w:rFonts w:ascii="宋体" w:hAnsi="宋体" w:eastAsia="宋体" w:cs="宋体"/>
          <w:color w:val="auto"/>
          <w:position w:val="-2"/>
          <w:sz w:val="24"/>
          <w:szCs w:val="24"/>
          <w:highlight w:val="none"/>
          <w:u w:val="single"/>
        </w:rPr>
        <w:t xml:space="preserve"> </w:t>
      </w:r>
      <w:r>
        <w:rPr>
          <w:rFonts w:ascii="宋体" w:hAnsi="宋体" w:eastAsia="宋体" w:cs="宋体"/>
          <w:color w:val="auto"/>
          <w:spacing w:val="1"/>
          <w:position w:val="-2"/>
          <w:sz w:val="24"/>
          <w:szCs w:val="24"/>
          <w:highlight w:val="none"/>
          <w:u w:val="single"/>
        </w:rPr>
        <w:t xml:space="preserve">   </w:t>
      </w:r>
      <w:r>
        <w:rPr>
          <w:rFonts w:hint="eastAsia" w:ascii="宋体" w:hAnsi="宋体" w:eastAsia="宋体" w:cs="宋体"/>
          <w:color w:val="auto"/>
          <w:position w:val="-2"/>
          <w:sz w:val="24"/>
          <w:szCs w:val="24"/>
          <w:highlight w:val="none"/>
        </w:rPr>
        <w:t>（签</w:t>
      </w:r>
      <w:r>
        <w:rPr>
          <w:rFonts w:hint="eastAsia" w:ascii="宋体" w:hAnsi="宋体" w:eastAsia="宋体" w:cs="宋体"/>
          <w:color w:val="auto"/>
          <w:spacing w:val="-2"/>
          <w:position w:val="-2"/>
          <w:sz w:val="24"/>
          <w:szCs w:val="24"/>
          <w:highlight w:val="none"/>
        </w:rPr>
        <w:t>字</w:t>
      </w:r>
      <w:r>
        <w:rPr>
          <w:rFonts w:hint="eastAsia" w:ascii="宋体" w:hAnsi="宋体" w:eastAsia="宋体" w:cs="宋体"/>
          <w:color w:val="auto"/>
          <w:position w:val="-2"/>
          <w:sz w:val="24"/>
          <w:szCs w:val="24"/>
          <w:highlight w:val="none"/>
        </w:rPr>
        <w:t>或</w:t>
      </w:r>
      <w:r>
        <w:rPr>
          <w:rFonts w:hint="eastAsia" w:ascii="宋体" w:hAnsi="宋体" w:eastAsia="宋体" w:cs="宋体"/>
          <w:color w:val="auto"/>
          <w:spacing w:val="-2"/>
          <w:position w:val="-2"/>
          <w:sz w:val="24"/>
          <w:szCs w:val="24"/>
          <w:highlight w:val="none"/>
        </w:rPr>
        <w:t>盖</w:t>
      </w:r>
      <w:r>
        <w:rPr>
          <w:rFonts w:hint="eastAsia" w:ascii="宋体" w:hAnsi="宋体" w:eastAsia="宋体" w:cs="宋体"/>
          <w:color w:val="auto"/>
          <w:position w:val="-2"/>
          <w:sz w:val="24"/>
          <w:szCs w:val="24"/>
          <w:highlight w:val="none"/>
        </w:rPr>
        <w:t>章）</w:t>
      </w:r>
    </w:p>
    <w:p w14:paraId="04995FE7">
      <w:pPr>
        <w:tabs>
          <w:tab w:val="left" w:pos="7020"/>
        </w:tabs>
        <w:spacing w:line="360" w:lineRule="auto"/>
        <w:ind w:right="-20" w:firstLine="708" w:firstLineChars="295"/>
        <w:rPr>
          <w:rFonts w:ascii="宋体" w:hAnsi="宋体" w:eastAsia="宋体" w:cs="宋体"/>
          <w:color w:val="auto"/>
          <w:sz w:val="24"/>
          <w:szCs w:val="24"/>
          <w:highlight w:val="none"/>
          <w:u w:val="single"/>
        </w:rPr>
      </w:pPr>
      <w:r>
        <w:rPr>
          <w:rFonts w:hint="eastAsia" w:ascii="宋体" w:hAnsi="宋体" w:eastAsia="宋体" w:cs="宋体"/>
          <w:color w:val="auto"/>
          <w:position w:val="-2"/>
          <w:sz w:val="24"/>
          <w:szCs w:val="24"/>
          <w:highlight w:val="none"/>
        </w:rPr>
        <w:t>日期：</w:t>
      </w:r>
      <w:r>
        <w:rPr>
          <w:rFonts w:ascii="宋体" w:hAnsi="宋体" w:eastAsia="宋体" w:cs="宋体"/>
          <w:color w:val="auto"/>
          <w:position w:val="-2"/>
          <w:sz w:val="24"/>
          <w:szCs w:val="24"/>
          <w:highlight w:val="none"/>
          <w:u w:val="single"/>
        </w:rPr>
        <w:t xml:space="preserve">    </w:t>
      </w:r>
      <w:r>
        <w:rPr>
          <w:rFonts w:hint="eastAsia" w:ascii="宋体" w:hAnsi="宋体" w:eastAsia="宋体" w:cs="宋体"/>
          <w:color w:val="auto"/>
          <w:position w:val="-2"/>
          <w:sz w:val="24"/>
          <w:szCs w:val="24"/>
          <w:highlight w:val="none"/>
        </w:rPr>
        <w:t>年</w:t>
      </w:r>
      <w:r>
        <w:rPr>
          <w:rFonts w:ascii="宋体" w:hAnsi="宋体" w:eastAsia="宋体" w:cs="宋体"/>
          <w:color w:val="auto"/>
          <w:position w:val="-2"/>
          <w:sz w:val="24"/>
          <w:szCs w:val="24"/>
          <w:highlight w:val="none"/>
          <w:u w:val="single"/>
        </w:rPr>
        <w:t xml:space="preserve">    </w:t>
      </w:r>
      <w:r>
        <w:rPr>
          <w:rFonts w:hint="eastAsia" w:ascii="宋体" w:hAnsi="宋体" w:eastAsia="宋体" w:cs="宋体"/>
          <w:color w:val="auto"/>
          <w:position w:val="-2"/>
          <w:sz w:val="24"/>
          <w:szCs w:val="24"/>
          <w:highlight w:val="none"/>
        </w:rPr>
        <w:t>月</w:t>
      </w:r>
      <w:r>
        <w:rPr>
          <w:rFonts w:ascii="宋体" w:hAnsi="宋体" w:eastAsia="宋体" w:cs="宋体"/>
          <w:color w:val="auto"/>
          <w:position w:val="-2"/>
          <w:sz w:val="24"/>
          <w:szCs w:val="24"/>
          <w:highlight w:val="none"/>
          <w:u w:val="single"/>
        </w:rPr>
        <w:t xml:space="preserve">    </w:t>
      </w:r>
      <w:r>
        <w:rPr>
          <w:rFonts w:hint="eastAsia" w:ascii="宋体" w:hAnsi="宋体" w:eastAsia="宋体" w:cs="宋体"/>
          <w:color w:val="auto"/>
          <w:position w:val="-2"/>
          <w:sz w:val="24"/>
          <w:szCs w:val="24"/>
          <w:highlight w:val="none"/>
        </w:rPr>
        <w:t>日</w:t>
      </w:r>
    </w:p>
    <w:p w14:paraId="589491D6">
      <w:pPr>
        <w:widowControl/>
        <w:spacing w:line="360" w:lineRule="auto"/>
        <w:jc w:val="left"/>
        <w:rPr>
          <w:rFonts w:ascii="宋体" w:hAnsi="宋体" w:eastAsia="宋体"/>
          <w:bCs/>
          <w:color w:val="auto"/>
          <w:sz w:val="24"/>
          <w:szCs w:val="24"/>
          <w:highlight w:val="none"/>
        </w:rPr>
      </w:pPr>
      <w:r>
        <w:rPr>
          <w:rFonts w:ascii="宋体" w:hAnsi="宋体" w:eastAsia="宋体"/>
          <w:bCs/>
          <w:color w:val="auto"/>
          <w:sz w:val="24"/>
          <w:szCs w:val="24"/>
          <w:highlight w:val="none"/>
        </w:rPr>
        <w:br w:type="page"/>
      </w:r>
    </w:p>
    <w:p w14:paraId="6D914C4E">
      <w:pPr>
        <w:pStyle w:val="3"/>
        <w:rPr>
          <w:color w:val="auto"/>
          <w:highlight w:val="none"/>
        </w:rPr>
      </w:pPr>
      <w:bookmarkStart w:id="311" w:name="_Toc51055768"/>
      <w:bookmarkStart w:id="312" w:name="_Toc45266450"/>
      <w:bookmarkStart w:id="313" w:name="_Toc138236379"/>
      <w:bookmarkStart w:id="314" w:name="_Toc5330"/>
      <w:r>
        <w:rPr>
          <w:rFonts w:hint="eastAsia"/>
          <w:color w:val="auto"/>
          <w:highlight w:val="none"/>
        </w:rPr>
        <w:t>附件三：</w:t>
      </w:r>
      <w:bookmarkEnd w:id="311"/>
      <w:bookmarkEnd w:id="312"/>
      <w:r>
        <w:rPr>
          <w:rFonts w:hint="eastAsia"/>
          <w:color w:val="auto"/>
          <w:szCs w:val="28"/>
          <w:highlight w:val="none"/>
        </w:rPr>
        <w:t>问题的澄清</w:t>
      </w:r>
      <w:bookmarkEnd w:id="313"/>
      <w:bookmarkEnd w:id="314"/>
    </w:p>
    <w:p w14:paraId="13AFEA62">
      <w:pPr>
        <w:spacing w:line="360" w:lineRule="auto"/>
        <w:ind w:right="-35"/>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问题的</w:t>
      </w:r>
      <w:r>
        <w:rPr>
          <w:rFonts w:hint="eastAsia" w:ascii="宋体" w:hAnsi="宋体" w:eastAsia="宋体" w:cs="宋体"/>
          <w:color w:val="auto"/>
          <w:spacing w:val="-3"/>
          <w:sz w:val="24"/>
          <w:szCs w:val="24"/>
          <w:highlight w:val="none"/>
        </w:rPr>
        <w:t>澄</w:t>
      </w:r>
      <w:r>
        <w:rPr>
          <w:rFonts w:hint="eastAsia" w:ascii="宋体" w:hAnsi="宋体" w:eastAsia="宋体" w:cs="宋体"/>
          <w:color w:val="auto"/>
          <w:sz w:val="24"/>
          <w:szCs w:val="24"/>
          <w:highlight w:val="none"/>
        </w:rPr>
        <w:t>清</w:t>
      </w:r>
    </w:p>
    <w:p w14:paraId="08383089">
      <w:pPr>
        <w:tabs>
          <w:tab w:val="left" w:pos="5940"/>
        </w:tabs>
        <w:spacing w:before="19" w:line="360" w:lineRule="auto"/>
        <w:ind w:left="3567" w:right="-20"/>
        <w:rPr>
          <w:rFonts w:ascii="宋体" w:hAnsi="宋体" w:eastAsia="宋体" w:cs="宋体"/>
          <w:color w:val="auto"/>
          <w:position w:val="-4"/>
          <w:sz w:val="24"/>
          <w:szCs w:val="24"/>
          <w:highlight w:val="none"/>
        </w:rPr>
      </w:pPr>
      <w:r>
        <w:rPr>
          <w:rFonts w:hint="eastAsia" w:ascii="宋体" w:hAnsi="宋体" w:eastAsia="宋体" w:cs="宋体"/>
          <w:color w:val="auto"/>
          <w:position w:val="-4"/>
          <w:sz w:val="24"/>
          <w:szCs w:val="24"/>
          <w:highlight w:val="none"/>
        </w:rPr>
        <w:t>（编</w:t>
      </w:r>
      <w:r>
        <w:rPr>
          <w:rFonts w:hint="eastAsia" w:ascii="宋体" w:hAnsi="宋体" w:eastAsia="宋体" w:cs="宋体"/>
          <w:color w:val="auto"/>
          <w:spacing w:val="-2"/>
          <w:position w:val="-4"/>
          <w:sz w:val="24"/>
          <w:szCs w:val="24"/>
          <w:highlight w:val="none"/>
        </w:rPr>
        <w:t>号</w:t>
      </w:r>
      <w:r>
        <w:rPr>
          <w:rFonts w:hint="eastAsia" w:ascii="宋体" w:hAnsi="宋体" w:eastAsia="宋体" w:cs="宋体"/>
          <w:color w:val="auto"/>
          <w:position w:val="-4"/>
          <w:sz w:val="24"/>
          <w:szCs w:val="24"/>
          <w:highlight w:val="none"/>
        </w:rPr>
        <w:t>：</w:t>
      </w:r>
      <w:r>
        <w:rPr>
          <w:rFonts w:ascii="宋体" w:hAnsi="宋体" w:eastAsia="宋体" w:cs="宋体"/>
          <w:color w:val="auto"/>
          <w:position w:val="-4"/>
          <w:sz w:val="24"/>
          <w:szCs w:val="24"/>
          <w:highlight w:val="none"/>
          <w:u w:val="single"/>
        </w:rPr>
        <w:t xml:space="preserve"> </w:t>
      </w:r>
      <w:r>
        <w:rPr>
          <w:rFonts w:ascii="宋体" w:hAnsi="宋体" w:eastAsia="宋体" w:cs="宋体"/>
          <w:color w:val="auto"/>
          <w:spacing w:val="1"/>
          <w:position w:val="-4"/>
          <w:sz w:val="24"/>
          <w:szCs w:val="24"/>
          <w:highlight w:val="none"/>
          <w:u w:val="single"/>
        </w:rPr>
        <w:t xml:space="preserve"> </w:t>
      </w:r>
      <w:r>
        <w:rPr>
          <w:rFonts w:ascii="宋体" w:hAnsi="宋体" w:eastAsia="宋体" w:cs="宋体"/>
          <w:color w:val="auto"/>
          <w:position w:val="-4"/>
          <w:sz w:val="24"/>
          <w:szCs w:val="24"/>
          <w:highlight w:val="none"/>
          <w:u w:val="single"/>
        </w:rPr>
        <w:tab/>
      </w:r>
      <w:r>
        <w:rPr>
          <w:rFonts w:hint="eastAsia" w:ascii="宋体" w:hAnsi="宋体" w:eastAsia="宋体" w:cs="宋体"/>
          <w:color w:val="auto"/>
          <w:position w:val="-4"/>
          <w:sz w:val="24"/>
          <w:szCs w:val="24"/>
          <w:highlight w:val="none"/>
        </w:rPr>
        <w:t>）</w:t>
      </w:r>
    </w:p>
    <w:p w14:paraId="31216BED">
      <w:pPr>
        <w:tabs>
          <w:tab w:val="left" w:pos="5940"/>
        </w:tabs>
        <w:spacing w:before="19" w:line="360" w:lineRule="auto"/>
        <w:ind w:left="3567" w:right="-20"/>
        <w:rPr>
          <w:rFonts w:ascii="宋体" w:hAnsi="宋体" w:eastAsia="宋体" w:cs="宋体"/>
          <w:color w:val="auto"/>
          <w:sz w:val="24"/>
          <w:szCs w:val="24"/>
          <w:highlight w:val="none"/>
        </w:rPr>
      </w:pPr>
    </w:p>
    <w:p w14:paraId="01B47C2C">
      <w:pPr>
        <w:spacing w:line="360" w:lineRule="auto"/>
        <w:ind w:left="100" w:right="-20"/>
        <w:rPr>
          <w:rFonts w:ascii="宋体" w:hAnsi="宋体" w:eastAsia="宋体" w:cs="宋体"/>
          <w:color w:val="auto"/>
          <w:sz w:val="24"/>
          <w:szCs w:val="24"/>
          <w:highlight w:val="none"/>
        </w:rPr>
      </w:pPr>
      <w:r>
        <w:rPr>
          <w:rFonts w:hint="eastAsia" w:ascii="宋体" w:hAnsi="宋体" w:eastAsia="宋体" w:cs="宋体"/>
          <w:color w:val="auto"/>
          <w:position w:val="-1"/>
          <w:sz w:val="24"/>
          <w:szCs w:val="24"/>
          <w:highlight w:val="none"/>
        </w:rPr>
        <w:t>评标</w:t>
      </w:r>
      <w:r>
        <w:rPr>
          <w:rFonts w:hint="eastAsia" w:ascii="宋体" w:hAnsi="宋体" w:eastAsia="宋体" w:cs="宋体"/>
          <w:color w:val="auto"/>
          <w:spacing w:val="-2"/>
          <w:position w:val="-1"/>
          <w:sz w:val="24"/>
          <w:szCs w:val="24"/>
          <w:highlight w:val="none"/>
        </w:rPr>
        <w:t>委</w:t>
      </w:r>
      <w:r>
        <w:rPr>
          <w:rFonts w:hint="eastAsia" w:ascii="宋体" w:hAnsi="宋体" w:eastAsia="宋体" w:cs="宋体"/>
          <w:color w:val="auto"/>
          <w:position w:val="-1"/>
          <w:sz w:val="24"/>
          <w:szCs w:val="24"/>
          <w:highlight w:val="none"/>
        </w:rPr>
        <w:t>员</w:t>
      </w:r>
      <w:r>
        <w:rPr>
          <w:rFonts w:hint="eastAsia" w:ascii="宋体" w:hAnsi="宋体" w:eastAsia="宋体" w:cs="宋体"/>
          <w:color w:val="auto"/>
          <w:spacing w:val="-3"/>
          <w:position w:val="-1"/>
          <w:sz w:val="24"/>
          <w:szCs w:val="24"/>
          <w:highlight w:val="none"/>
        </w:rPr>
        <w:t>会</w:t>
      </w:r>
      <w:r>
        <w:rPr>
          <w:rFonts w:hint="eastAsia" w:ascii="宋体" w:hAnsi="宋体" w:eastAsia="宋体" w:cs="宋体"/>
          <w:color w:val="auto"/>
          <w:position w:val="-1"/>
          <w:sz w:val="24"/>
          <w:szCs w:val="24"/>
          <w:highlight w:val="none"/>
        </w:rPr>
        <w:t>：</w:t>
      </w:r>
    </w:p>
    <w:p w14:paraId="6C3604F6">
      <w:pPr>
        <w:tabs>
          <w:tab w:val="left" w:pos="3460"/>
        </w:tabs>
        <w:spacing w:line="360" w:lineRule="auto"/>
        <w:ind w:left="523" w:right="-20"/>
        <w:rPr>
          <w:rFonts w:ascii="宋体" w:hAnsi="宋体" w:eastAsia="宋体" w:cs="宋体"/>
          <w:color w:val="auto"/>
          <w:sz w:val="24"/>
          <w:szCs w:val="24"/>
          <w:highlight w:val="none"/>
        </w:rPr>
      </w:pPr>
      <w:r>
        <w:rPr>
          <w:rFonts w:hint="eastAsia" w:ascii="宋体" w:hAnsi="宋体" w:eastAsia="宋体" w:cs="宋体"/>
          <w:color w:val="auto"/>
          <w:spacing w:val="-2"/>
          <w:position w:val="-4"/>
          <w:sz w:val="24"/>
          <w:szCs w:val="24"/>
          <w:highlight w:val="none"/>
        </w:rPr>
        <w:t>问</w:t>
      </w:r>
      <w:r>
        <w:rPr>
          <w:rFonts w:hint="eastAsia" w:ascii="宋体" w:hAnsi="宋体" w:eastAsia="宋体" w:cs="宋体"/>
          <w:color w:val="auto"/>
          <w:position w:val="-4"/>
          <w:sz w:val="24"/>
          <w:szCs w:val="24"/>
          <w:highlight w:val="none"/>
        </w:rPr>
        <w:t>题</w:t>
      </w:r>
      <w:r>
        <w:rPr>
          <w:rFonts w:hint="eastAsia" w:ascii="宋体" w:hAnsi="宋体" w:eastAsia="宋体" w:cs="宋体"/>
          <w:color w:val="auto"/>
          <w:spacing w:val="-2"/>
          <w:position w:val="-4"/>
          <w:sz w:val="24"/>
          <w:szCs w:val="24"/>
          <w:highlight w:val="none"/>
        </w:rPr>
        <w:t>澄</w:t>
      </w:r>
      <w:r>
        <w:rPr>
          <w:rFonts w:hint="eastAsia" w:ascii="宋体" w:hAnsi="宋体" w:eastAsia="宋体" w:cs="宋体"/>
          <w:color w:val="auto"/>
          <w:position w:val="-4"/>
          <w:sz w:val="24"/>
          <w:szCs w:val="24"/>
          <w:highlight w:val="none"/>
        </w:rPr>
        <w:t>清</w:t>
      </w:r>
      <w:r>
        <w:rPr>
          <w:rFonts w:hint="eastAsia" w:ascii="宋体" w:hAnsi="宋体" w:eastAsia="宋体" w:cs="宋体"/>
          <w:color w:val="auto"/>
          <w:spacing w:val="-2"/>
          <w:position w:val="-4"/>
          <w:sz w:val="24"/>
          <w:szCs w:val="24"/>
          <w:highlight w:val="none"/>
        </w:rPr>
        <w:t>通</w:t>
      </w:r>
      <w:r>
        <w:rPr>
          <w:rFonts w:hint="eastAsia" w:ascii="宋体" w:hAnsi="宋体" w:eastAsia="宋体" w:cs="宋体"/>
          <w:color w:val="auto"/>
          <w:position w:val="-4"/>
          <w:sz w:val="24"/>
          <w:szCs w:val="24"/>
          <w:highlight w:val="none"/>
        </w:rPr>
        <w:t>知</w:t>
      </w:r>
      <w:r>
        <w:rPr>
          <w:rFonts w:hint="eastAsia" w:ascii="宋体" w:hAnsi="宋体" w:eastAsia="宋体" w:cs="宋体"/>
          <w:color w:val="auto"/>
          <w:spacing w:val="-2"/>
          <w:position w:val="-4"/>
          <w:sz w:val="24"/>
          <w:szCs w:val="24"/>
          <w:highlight w:val="none"/>
        </w:rPr>
        <w:t>（</w:t>
      </w:r>
      <w:r>
        <w:rPr>
          <w:rFonts w:hint="eastAsia" w:ascii="宋体" w:hAnsi="宋体" w:eastAsia="宋体" w:cs="宋体"/>
          <w:color w:val="auto"/>
          <w:position w:val="-4"/>
          <w:sz w:val="24"/>
          <w:szCs w:val="24"/>
          <w:highlight w:val="none"/>
        </w:rPr>
        <w:t>编</w:t>
      </w:r>
      <w:r>
        <w:rPr>
          <w:rFonts w:hint="eastAsia" w:ascii="宋体" w:hAnsi="宋体" w:eastAsia="宋体" w:cs="宋体"/>
          <w:color w:val="auto"/>
          <w:spacing w:val="-2"/>
          <w:position w:val="-4"/>
          <w:sz w:val="24"/>
          <w:szCs w:val="24"/>
          <w:highlight w:val="none"/>
        </w:rPr>
        <w:t>号</w:t>
      </w:r>
      <w:r>
        <w:rPr>
          <w:rFonts w:hint="eastAsia" w:ascii="宋体" w:hAnsi="宋体" w:eastAsia="宋体" w:cs="宋体"/>
          <w:color w:val="auto"/>
          <w:position w:val="-4"/>
          <w:sz w:val="24"/>
          <w:szCs w:val="24"/>
          <w:highlight w:val="none"/>
        </w:rPr>
        <w:t>：</w:t>
      </w:r>
      <w:r>
        <w:rPr>
          <w:rFonts w:ascii="宋体" w:hAnsi="宋体" w:eastAsia="宋体" w:cs="宋体"/>
          <w:color w:val="auto"/>
          <w:position w:val="-4"/>
          <w:sz w:val="24"/>
          <w:szCs w:val="24"/>
          <w:highlight w:val="none"/>
          <w:u w:val="single"/>
        </w:rPr>
        <w:t xml:space="preserve"> </w:t>
      </w:r>
      <w:r>
        <w:rPr>
          <w:rFonts w:ascii="宋体" w:hAnsi="宋体" w:eastAsia="宋体" w:cs="宋体"/>
          <w:color w:val="auto"/>
          <w:spacing w:val="1"/>
          <w:position w:val="-4"/>
          <w:sz w:val="24"/>
          <w:szCs w:val="24"/>
          <w:highlight w:val="none"/>
          <w:u w:val="single"/>
        </w:rPr>
        <w:t xml:space="preserve"> </w:t>
      </w:r>
      <w:r>
        <w:rPr>
          <w:rFonts w:ascii="宋体" w:hAnsi="宋体" w:eastAsia="宋体" w:cs="宋体"/>
          <w:color w:val="auto"/>
          <w:position w:val="-4"/>
          <w:sz w:val="24"/>
          <w:szCs w:val="24"/>
          <w:highlight w:val="none"/>
          <w:u w:val="single"/>
        </w:rPr>
        <w:tab/>
      </w:r>
      <w:r>
        <w:rPr>
          <w:rFonts w:hint="eastAsia" w:ascii="宋体" w:hAnsi="宋体" w:eastAsia="宋体" w:cs="宋体"/>
          <w:color w:val="auto"/>
          <w:position w:val="-4"/>
          <w:sz w:val="24"/>
          <w:szCs w:val="24"/>
          <w:highlight w:val="none"/>
        </w:rPr>
        <w:t>）已收</w:t>
      </w:r>
      <w:r>
        <w:rPr>
          <w:rFonts w:hint="eastAsia" w:ascii="宋体" w:hAnsi="宋体" w:eastAsia="宋体" w:cs="宋体"/>
          <w:color w:val="auto"/>
          <w:spacing w:val="-2"/>
          <w:position w:val="-4"/>
          <w:sz w:val="24"/>
          <w:szCs w:val="24"/>
          <w:highlight w:val="none"/>
        </w:rPr>
        <w:t>悉</w:t>
      </w:r>
      <w:r>
        <w:rPr>
          <w:rFonts w:hint="eastAsia" w:ascii="宋体" w:hAnsi="宋体" w:eastAsia="宋体" w:cs="宋体"/>
          <w:color w:val="auto"/>
          <w:position w:val="-4"/>
          <w:sz w:val="24"/>
          <w:szCs w:val="24"/>
          <w:highlight w:val="none"/>
        </w:rPr>
        <w:t>，</w:t>
      </w:r>
      <w:r>
        <w:rPr>
          <w:rFonts w:hint="eastAsia" w:ascii="宋体" w:hAnsi="宋体" w:eastAsia="宋体" w:cs="宋体"/>
          <w:color w:val="auto"/>
          <w:spacing w:val="-2"/>
          <w:position w:val="-4"/>
          <w:sz w:val="24"/>
          <w:szCs w:val="24"/>
          <w:highlight w:val="none"/>
        </w:rPr>
        <w:t>现</w:t>
      </w:r>
      <w:r>
        <w:rPr>
          <w:rFonts w:hint="eastAsia" w:ascii="宋体" w:hAnsi="宋体" w:eastAsia="宋体" w:cs="宋体"/>
          <w:color w:val="auto"/>
          <w:position w:val="-4"/>
          <w:sz w:val="24"/>
          <w:szCs w:val="24"/>
          <w:highlight w:val="none"/>
        </w:rPr>
        <w:t>澄清</w:t>
      </w:r>
      <w:r>
        <w:rPr>
          <w:rFonts w:hint="eastAsia" w:ascii="宋体" w:hAnsi="宋体" w:eastAsia="宋体" w:cs="宋体"/>
          <w:color w:val="auto"/>
          <w:spacing w:val="-2"/>
          <w:position w:val="-4"/>
          <w:sz w:val="24"/>
          <w:szCs w:val="24"/>
          <w:highlight w:val="none"/>
        </w:rPr>
        <w:t>、</w:t>
      </w:r>
      <w:r>
        <w:rPr>
          <w:rFonts w:hint="eastAsia" w:ascii="宋体" w:hAnsi="宋体" w:eastAsia="宋体" w:cs="宋体"/>
          <w:color w:val="auto"/>
          <w:position w:val="-4"/>
          <w:sz w:val="24"/>
          <w:szCs w:val="24"/>
          <w:highlight w:val="none"/>
        </w:rPr>
        <w:t>说</w:t>
      </w:r>
      <w:r>
        <w:rPr>
          <w:rFonts w:hint="eastAsia" w:ascii="宋体" w:hAnsi="宋体" w:eastAsia="宋体" w:cs="宋体"/>
          <w:color w:val="auto"/>
          <w:spacing w:val="-2"/>
          <w:position w:val="-4"/>
          <w:sz w:val="24"/>
          <w:szCs w:val="24"/>
          <w:highlight w:val="none"/>
        </w:rPr>
        <w:t>明</w:t>
      </w:r>
      <w:r>
        <w:rPr>
          <w:rFonts w:hint="eastAsia" w:ascii="宋体" w:hAnsi="宋体" w:eastAsia="宋体" w:cs="宋体"/>
          <w:color w:val="auto"/>
          <w:position w:val="-4"/>
          <w:sz w:val="24"/>
          <w:szCs w:val="24"/>
          <w:highlight w:val="none"/>
        </w:rPr>
        <w:t>或</w:t>
      </w:r>
      <w:r>
        <w:rPr>
          <w:rFonts w:hint="eastAsia" w:ascii="宋体" w:hAnsi="宋体" w:eastAsia="宋体" w:cs="宋体"/>
          <w:color w:val="auto"/>
          <w:spacing w:val="-2"/>
          <w:position w:val="-4"/>
          <w:sz w:val="24"/>
          <w:szCs w:val="24"/>
          <w:highlight w:val="none"/>
        </w:rPr>
        <w:t>补</w:t>
      </w:r>
      <w:r>
        <w:rPr>
          <w:rFonts w:hint="eastAsia" w:ascii="宋体" w:hAnsi="宋体" w:eastAsia="宋体" w:cs="宋体"/>
          <w:color w:val="auto"/>
          <w:position w:val="-4"/>
          <w:sz w:val="24"/>
          <w:szCs w:val="24"/>
          <w:highlight w:val="none"/>
        </w:rPr>
        <w:t>正</w:t>
      </w:r>
      <w:r>
        <w:rPr>
          <w:rFonts w:hint="eastAsia" w:ascii="宋体" w:hAnsi="宋体" w:eastAsia="宋体" w:cs="宋体"/>
          <w:color w:val="auto"/>
          <w:spacing w:val="-2"/>
          <w:position w:val="-4"/>
          <w:sz w:val="24"/>
          <w:szCs w:val="24"/>
          <w:highlight w:val="none"/>
        </w:rPr>
        <w:t>如</w:t>
      </w:r>
      <w:r>
        <w:rPr>
          <w:rFonts w:hint="eastAsia" w:ascii="宋体" w:hAnsi="宋体" w:eastAsia="宋体" w:cs="宋体"/>
          <w:color w:val="auto"/>
          <w:position w:val="-4"/>
          <w:sz w:val="24"/>
          <w:szCs w:val="24"/>
          <w:highlight w:val="none"/>
        </w:rPr>
        <w:t>下：</w:t>
      </w:r>
    </w:p>
    <w:p w14:paraId="19AB13D6">
      <w:pPr>
        <w:spacing w:line="360" w:lineRule="auto"/>
        <w:ind w:left="523" w:right="-20"/>
        <w:rPr>
          <w:rFonts w:ascii="宋体" w:hAnsi="宋体" w:eastAsia="宋体" w:cs="宋体"/>
          <w:color w:val="auto"/>
          <w:sz w:val="24"/>
          <w:szCs w:val="24"/>
          <w:highlight w:val="none"/>
        </w:rPr>
      </w:pPr>
      <w:r>
        <w:rPr>
          <w:rFonts w:ascii="宋体" w:hAnsi="宋体" w:eastAsia="宋体" w:cs="宋体"/>
          <w:color w:val="auto"/>
          <w:sz w:val="24"/>
          <w:szCs w:val="24"/>
          <w:highlight w:val="none"/>
        </w:rPr>
        <w:t>1.</w:t>
      </w:r>
    </w:p>
    <w:p w14:paraId="0E8B7F83">
      <w:pPr>
        <w:spacing w:line="360" w:lineRule="auto"/>
        <w:ind w:left="523" w:right="-20"/>
        <w:rPr>
          <w:rFonts w:ascii="宋体" w:hAnsi="宋体" w:eastAsia="宋体" w:cs="宋体"/>
          <w:color w:val="auto"/>
          <w:sz w:val="24"/>
          <w:szCs w:val="24"/>
          <w:highlight w:val="none"/>
        </w:rPr>
      </w:pPr>
      <w:r>
        <w:rPr>
          <w:rFonts w:ascii="宋体" w:hAnsi="宋体" w:eastAsia="宋体" w:cs="宋体"/>
          <w:color w:val="auto"/>
          <w:sz w:val="24"/>
          <w:szCs w:val="24"/>
          <w:highlight w:val="none"/>
        </w:rPr>
        <w:t>2.</w:t>
      </w:r>
    </w:p>
    <w:p w14:paraId="0CD1F797">
      <w:pPr>
        <w:spacing w:line="360" w:lineRule="auto"/>
        <w:ind w:left="628" w:right="-20"/>
        <w:rPr>
          <w:rFonts w:ascii="宋体" w:hAnsi="宋体" w:eastAsia="宋体" w:cs="宋体"/>
          <w:color w:val="auto"/>
          <w:sz w:val="24"/>
          <w:szCs w:val="24"/>
          <w:highlight w:val="none"/>
        </w:rPr>
      </w:pPr>
      <w:r>
        <w:rPr>
          <w:rFonts w:ascii="宋体" w:hAnsi="宋体" w:eastAsia="宋体" w:cs="宋体"/>
          <w:color w:val="auto"/>
          <w:sz w:val="24"/>
          <w:szCs w:val="24"/>
          <w:highlight w:val="none"/>
        </w:rPr>
        <w:t>.</w:t>
      </w:r>
      <w:r>
        <w:rPr>
          <w:rFonts w:ascii="宋体" w:hAnsi="宋体" w:eastAsia="宋体" w:cs="宋体"/>
          <w:color w:val="auto"/>
          <w:spacing w:val="-2"/>
          <w:sz w:val="24"/>
          <w:szCs w:val="24"/>
          <w:highlight w:val="none"/>
        </w:rPr>
        <w:t>.</w:t>
      </w:r>
      <w:r>
        <w:rPr>
          <w:rFonts w:ascii="宋体" w:hAnsi="宋体" w:eastAsia="宋体" w:cs="宋体"/>
          <w:color w:val="auto"/>
          <w:sz w:val="24"/>
          <w:szCs w:val="24"/>
          <w:highlight w:val="none"/>
        </w:rPr>
        <w:t>....</w:t>
      </w:r>
    </w:p>
    <w:p w14:paraId="52994977">
      <w:pPr>
        <w:spacing w:line="360" w:lineRule="auto"/>
        <w:ind w:left="100" w:right="43" w:firstLine="420"/>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上述问题澄清、说</w:t>
      </w:r>
      <w:r>
        <w:rPr>
          <w:rFonts w:hint="eastAsia" w:ascii="宋体" w:hAnsi="宋体" w:eastAsia="宋体" w:cs="宋体"/>
          <w:color w:val="auto"/>
          <w:spacing w:val="-2"/>
          <w:sz w:val="24"/>
          <w:szCs w:val="24"/>
          <w:highlight w:val="none"/>
        </w:rPr>
        <w:t>明</w:t>
      </w:r>
      <w:r>
        <w:rPr>
          <w:rFonts w:hint="eastAsia" w:ascii="宋体" w:hAnsi="宋体" w:eastAsia="宋体" w:cs="宋体"/>
          <w:color w:val="auto"/>
          <w:sz w:val="24"/>
          <w:szCs w:val="24"/>
          <w:highlight w:val="none"/>
        </w:rPr>
        <w:t>或</w:t>
      </w:r>
      <w:r>
        <w:rPr>
          <w:rFonts w:hint="eastAsia" w:ascii="宋体" w:hAnsi="宋体" w:eastAsia="宋体" w:cs="宋体"/>
          <w:color w:val="auto"/>
          <w:spacing w:val="-2"/>
          <w:sz w:val="24"/>
          <w:szCs w:val="24"/>
          <w:highlight w:val="none"/>
        </w:rPr>
        <w:t>补</w:t>
      </w:r>
      <w:r>
        <w:rPr>
          <w:rFonts w:hint="eastAsia" w:ascii="宋体" w:hAnsi="宋体" w:eastAsia="宋体" w:cs="宋体"/>
          <w:color w:val="auto"/>
          <w:sz w:val="24"/>
          <w:szCs w:val="24"/>
          <w:highlight w:val="none"/>
        </w:rPr>
        <w:t>正，不改变我方投</w:t>
      </w:r>
      <w:r>
        <w:rPr>
          <w:rFonts w:hint="eastAsia" w:ascii="宋体" w:hAnsi="宋体" w:eastAsia="宋体" w:cs="宋体"/>
          <w:color w:val="auto"/>
          <w:spacing w:val="-2"/>
          <w:sz w:val="24"/>
          <w:szCs w:val="24"/>
          <w:highlight w:val="none"/>
        </w:rPr>
        <w:t>标</w:t>
      </w:r>
      <w:r>
        <w:rPr>
          <w:rFonts w:hint="eastAsia" w:ascii="宋体" w:hAnsi="宋体" w:eastAsia="宋体" w:cs="宋体"/>
          <w:color w:val="auto"/>
          <w:sz w:val="24"/>
          <w:szCs w:val="24"/>
          <w:highlight w:val="none"/>
        </w:rPr>
        <w:t>文</w:t>
      </w:r>
      <w:r>
        <w:rPr>
          <w:rFonts w:hint="eastAsia" w:ascii="宋体" w:hAnsi="宋体" w:eastAsia="宋体" w:cs="宋体"/>
          <w:color w:val="auto"/>
          <w:spacing w:val="-2"/>
          <w:sz w:val="24"/>
          <w:szCs w:val="24"/>
          <w:highlight w:val="none"/>
        </w:rPr>
        <w:t>件</w:t>
      </w:r>
      <w:r>
        <w:rPr>
          <w:rFonts w:hint="eastAsia" w:ascii="宋体" w:hAnsi="宋体" w:eastAsia="宋体" w:cs="宋体"/>
          <w:color w:val="auto"/>
          <w:sz w:val="24"/>
          <w:szCs w:val="24"/>
          <w:highlight w:val="none"/>
        </w:rPr>
        <w:t>的实质性内容，构</w:t>
      </w:r>
      <w:r>
        <w:rPr>
          <w:rFonts w:hint="eastAsia" w:ascii="宋体" w:hAnsi="宋体" w:eastAsia="宋体" w:cs="宋体"/>
          <w:color w:val="auto"/>
          <w:spacing w:val="-2"/>
          <w:sz w:val="24"/>
          <w:szCs w:val="24"/>
          <w:highlight w:val="none"/>
        </w:rPr>
        <w:t>成</w:t>
      </w:r>
      <w:r>
        <w:rPr>
          <w:rFonts w:hint="eastAsia" w:ascii="宋体" w:hAnsi="宋体" w:eastAsia="宋体" w:cs="宋体"/>
          <w:color w:val="auto"/>
          <w:sz w:val="24"/>
          <w:szCs w:val="24"/>
          <w:highlight w:val="none"/>
        </w:rPr>
        <w:t>我</w:t>
      </w:r>
      <w:r>
        <w:rPr>
          <w:rFonts w:hint="eastAsia" w:ascii="宋体" w:hAnsi="宋体" w:eastAsia="宋体" w:cs="宋体"/>
          <w:color w:val="auto"/>
          <w:spacing w:val="-2"/>
          <w:sz w:val="24"/>
          <w:szCs w:val="24"/>
          <w:highlight w:val="none"/>
        </w:rPr>
        <w:t>方</w:t>
      </w:r>
      <w:r>
        <w:rPr>
          <w:rFonts w:hint="eastAsia" w:ascii="宋体" w:hAnsi="宋体" w:eastAsia="宋体" w:cs="宋体"/>
          <w:color w:val="auto"/>
          <w:sz w:val="24"/>
          <w:szCs w:val="24"/>
          <w:highlight w:val="none"/>
        </w:rPr>
        <w:t>投标文件的组成部</w:t>
      </w:r>
      <w:r>
        <w:rPr>
          <w:rFonts w:hint="eastAsia" w:ascii="宋体" w:hAnsi="宋体" w:eastAsia="宋体" w:cs="宋体"/>
          <w:color w:val="auto"/>
          <w:spacing w:val="-2"/>
          <w:sz w:val="24"/>
          <w:szCs w:val="24"/>
          <w:highlight w:val="none"/>
        </w:rPr>
        <w:t>分</w:t>
      </w:r>
      <w:r>
        <w:rPr>
          <w:rFonts w:hint="eastAsia" w:ascii="宋体" w:hAnsi="宋体" w:eastAsia="宋体" w:cs="宋体"/>
          <w:color w:val="auto"/>
          <w:sz w:val="24"/>
          <w:szCs w:val="24"/>
          <w:highlight w:val="none"/>
        </w:rPr>
        <w:t>。</w:t>
      </w:r>
    </w:p>
    <w:p w14:paraId="5A98229A">
      <w:pPr>
        <w:spacing w:line="360" w:lineRule="auto"/>
        <w:rPr>
          <w:rFonts w:ascii="宋体" w:hAnsi="宋体" w:eastAsia="宋体" w:cs="宋体"/>
          <w:color w:val="auto"/>
          <w:sz w:val="24"/>
          <w:szCs w:val="24"/>
          <w:highlight w:val="none"/>
        </w:rPr>
      </w:pPr>
    </w:p>
    <w:p w14:paraId="7BBCDD21">
      <w:pPr>
        <w:spacing w:line="360" w:lineRule="auto"/>
        <w:rPr>
          <w:rFonts w:ascii="宋体" w:hAnsi="宋体" w:eastAsia="宋体" w:cs="宋体"/>
          <w:color w:val="auto"/>
          <w:sz w:val="24"/>
          <w:szCs w:val="24"/>
          <w:highlight w:val="none"/>
        </w:rPr>
      </w:pPr>
    </w:p>
    <w:p w14:paraId="050402DF">
      <w:pPr>
        <w:spacing w:line="360" w:lineRule="auto"/>
        <w:rPr>
          <w:rFonts w:ascii="宋体" w:hAnsi="宋体" w:eastAsia="宋体" w:cs="宋体"/>
          <w:color w:val="auto"/>
          <w:sz w:val="24"/>
          <w:szCs w:val="24"/>
          <w:highlight w:val="none"/>
        </w:rPr>
      </w:pPr>
    </w:p>
    <w:p w14:paraId="0D078FB6">
      <w:pPr>
        <w:tabs>
          <w:tab w:val="left" w:pos="7140"/>
        </w:tabs>
        <w:spacing w:line="360" w:lineRule="auto"/>
        <w:ind w:left="3043" w:right="-20"/>
        <w:rPr>
          <w:rFonts w:ascii="宋体" w:hAnsi="宋体" w:eastAsia="宋体" w:cs="宋体"/>
          <w:color w:val="auto"/>
          <w:sz w:val="24"/>
          <w:szCs w:val="24"/>
          <w:highlight w:val="none"/>
        </w:rPr>
      </w:pPr>
      <w:r>
        <w:rPr>
          <w:rFonts w:hint="eastAsia" w:ascii="宋体" w:hAnsi="宋体" w:eastAsia="宋体" w:cs="宋体"/>
          <w:color w:val="auto"/>
          <w:position w:val="-4"/>
          <w:sz w:val="24"/>
          <w:szCs w:val="24"/>
          <w:highlight w:val="none"/>
        </w:rPr>
        <w:t>投</w:t>
      </w:r>
      <w:r>
        <w:rPr>
          <w:rFonts w:hint="eastAsia" w:ascii="宋体" w:hAnsi="宋体" w:eastAsia="宋体" w:cs="宋体"/>
          <w:color w:val="auto"/>
          <w:spacing w:val="-2"/>
          <w:position w:val="-4"/>
          <w:sz w:val="24"/>
          <w:szCs w:val="24"/>
          <w:highlight w:val="none"/>
        </w:rPr>
        <w:t>标</w:t>
      </w:r>
      <w:r>
        <w:rPr>
          <w:rFonts w:hint="eastAsia" w:ascii="宋体" w:hAnsi="宋体" w:eastAsia="宋体" w:cs="宋体"/>
          <w:color w:val="auto"/>
          <w:position w:val="-4"/>
          <w:sz w:val="24"/>
          <w:szCs w:val="24"/>
          <w:highlight w:val="none"/>
        </w:rPr>
        <w:t>人：</w:t>
      </w:r>
      <w:r>
        <w:rPr>
          <w:rFonts w:ascii="宋体" w:hAnsi="宋体" w:eastAsia="宋体" w:cs="宋体"/>
          <w:color w:val="auto"/>
          <w:position w:val="-4"/>
          <w:sz w:val="24"/>
          <w:szCs w:val="24"/>
          <w:highlight w:val="none"/>
          <w:u w:val="single"/>
        </w:rPr>
        <w:t xml:space="preserve"> </w:t>
      </w:r>
      <w:r>
        <w:rPr>
          <w:rFonts w:ascii="宋体" w:hAnsi="宋体" w:eastAsia="宋体" w:cs="宋体"/>
          <w:color w:val="auto"/>
          <w:spacing w:val="1"/>
          <w:position w:val="-4"/>
          <w:sz w:val="24"/>
          <w:szCs w:val="24"/>
          <w:highlight w:val="none"/>
          <w:u w:val="single"/>
        </w:rPr>
        <w:t xml:space="preserve"> </w:t>
      </w:r>
      <w:r>
        <w:rPr>
          <w:rFonts w:ascii="宋体" w:hAnsi="宋体" w:eastAsia="宋体" w:cs="宋体"/>
          <w:color w:val="auto"/>
          <w:position w:val="-4"/>
          <w:sz w:val="24"/>
          <w:szCs w:val="24"/>
          <w:highlight w:val="none"/>
          <w:u w:val="single"/>
        </w:rPr>
        <w:tab/>
      </w:r>
      <w:r>
        <w:rPr>
          <w:rFonts w:hint="eastAsia" w:ascii="宋体" w:hAnsi="宋体" w:eastAsia="宋体" w:cs="宋体"/>
          <w:color w:val="auto"/>
          <w:position w:val="-4"/>
          <w:sz w:val="24"/>
          <w:szCs w:val="24"/>
          <w:highlight w:val="none"/>
        </w:rPr>
        <w:t>（盖</w:t>
      </w:r>
      <w:r>
        <w:rPr>
          <w:rFonts w:hint="eastAsia" w:ascii="宋体" w:hAnsi="宋体" w:eastAsia="宋体" w:cs="宋体"/>
          <w:color w:val="auto"/>
          <w:spacing w:val="-2"/>
          <w:position w:val="-4"/>
          <w:sz w:val="24"/>
          <w:szCs w:val="24"/>
          <w:highlight w:val="none"/>
        </w:rPr>
        <w:t>单</w:t>
      </w:r>
      <w:r>
        <w:rPr>
          <w:rFonts w:hint="eastAsia" w:ascii="宋体" w:hAnsi="宋体" w:eastAsia="宋体" w:cs="宋体"/>
          <w:color w:val="auto"/>
          <w:position w:val="-4"/>
          <w:sz w:val="24"/>
          <w:szCs w:val="24"/>
          <w:highlight w:val="none"/>
        </w:rPr>
        <w:t>位</w:t>
      </w:r>
      <w:r>
        <w:rPr>
          <w:rFonts w:hint="eastAsia" w:ascii="宋体" w:hAnsi="宋体" w:eastAsia="宋体" w:cs="宋体"/>
          <w:color w:val="auto"/>
          <w:spacing w:val="-2"/>
          <w:position w:val="-4"/>
          <w:sz w:val="24"/>
          <w:szCs w:val="24"/>
          <w:highlight w:val="none"/>
        </w:rPr>
        <w:t>章</w:t>
      </w:r>
      <w:r>
        <w:rPr>
          <w:rFonts w:hint="eastAsia" w:ascii="宋体" w:hAnsi="宋体" w:eastAsia="宋体" w:cs="宋体"/>
          <w:color w:val="auto"/>
          <w:position w:val="-4"/>
          <w:sz w:val="24"/>
          <w:szCs w:val="24"/>
          <w:highlight w:val="none"/>
        </w:rPr>
        <w:t>）</w:t>
      </w:r>
    </w:p>
    <w:p w14:paraId="5F51150E">
      <w:pPr>
        <w:tabs>
          <w:tab w:val="left" w:pos="6600"/>
        </w:tabs>
        <w:spacing w:line="360" w:lineRule="auto"/>
        <w:ind w:left="3041" w:right="-20"/>
        <w:rPr>
          <w:rFonts w:ascii="宋体" w:hAnsi="宋体" w:eastAsia="宋体" w:cs="宋体"/>
          <w:color w:val="auto"/>
          <w:sz w:val="24"/>
          <w:szCs w:val="24"/>
          <w:highlight w:val="none"/>
        </w:rPr>
      </w:pPr>
      <w:r>
        <w:rPr>
          <w:rFonts w:hint="eastAsia" w:ascii="宋体" w:hAnsi="宋体" w:eastAsia="宋体" w:cs="宋体"/>
          <w:color w:val="auto"/>
          <w:position w:val="-2"/>
          <w:sz w:val="24"/>
          <w:szCs w:val="24"/>
          <w:highlight w:val="none"/>
        </w:rPr>
        <w:t>法</w:t>
      </w:r>
      <w:r>
        <w:rPr>
          <w:rFonts w:hint="eastAsia" w:ascii="宋体" w:hAnsi="宋体" w:eastAsia="宋体" w:cs="宋体"/>
          <w:color w:val="auto"/>
          <w:spacing w:val="-2"/>
          <w:position w:val="-2"/>
          <w:sz w:val="24"/>
          <w:szCs w:val="24"/>
          <w:highlight w:val="none"/>
        </w:rPr>
        <w:t>定</w:t>
      </w:r>
      <w:r>
        <w:rPr>
          <w:rFonts w:hint="eastAsia" w:ascii="宋体" w:hAnsi="宋体" w:eastAsia="宋体" w:cs="宋体"/>
          <w:color w:val="auto"/>
          <w:position w:val="-2"/>
          <w:sz w:val="24"/>
          <w:szCs w:val="24"/>
          <w:highlight w:val="none"/>
        </w:rPr>
        <w:t>代</w:t>
      </w:r>
      <w:r>
        <w:rPr>
          <w:rFonts w:hint="eastAsia" w:ascii="宋体" w:hAnsi="宋体" w:eastAsia="宋体" w:cs="宋体"/>
          <w:color w:val="auto"/>
          <w:spacing w:val="-2"/>
          <w:position w:val="-2"/>
          <w:sz w:val="24"/>
          <w:szCs w:val="24"/>
          <w:highlight w:val="none"/>
        </w:rPr>
        <w:t>表</w:t>
      </w:r>
      <w:r>
        <w:rPr>
          <w:rFonts w:hint="eastAsia" w:ascii="宋体" w:hAnsi="宋体" w:eastAsia="宋体" w:cs="宋体"/>
          <w:color w:val="auto"/>
          <w:position w:val="-2"/>
          <w:sz w:val="24"/>
          <w:szCs w:val="24"/>
          <w:highlight w:val="none"/>
        </w:rPr>
        <w:t>人</w:t>
      </w:r>
      <w:r>
        <w:rPr>
          <w:rFonts w:hint="eastAsia" w:ascii="宋体" w:hAnsi="宋体" w:eastAsia="宋体" w:cs="宋体"/>
          <w:color w:val="auto"/>
          <w:spacing w:val="-2"/>
          <w:position w:val="-2"/>
          <w:sz w:val="24"/>
          <w:szCs w:val="24"/>
          <w:highlight w:val="none"/>
        </w:rPr>
        <w:t>或</w:t>
      </w:r>
      <w:r>
        <w:rPr>
          <w:rFonts w:hint="eastAsia" w:ascii="宋体" w:hAnsi="宋体" w:eastAsia="宋体" w:cs="宋体"/>
          <w:color w:val="auto"/>
          <w:position w:val="-2"/>
          <w:sz w:val="24"/>
          <w:szCs w:val="24"/>
          <w:highlight w:val="none"/>
        </w:rPr>
        <w:t>其</w:t>
      </w:r>
      <w:r>
        <w:rPr>
          <w:rFonts w:hint="eastAsia" w:ascii="宋体" w:hAnsi="宋体" w:eastAsia="宋体" w:cs="宋体"/>
          <w:color w:val="auto"/>
          <w:spacing w:val="-2"/>
          <w:position w:val="-2"/>
          <w:sz w:val="24"/>
          <w:szCs w:val="24"/>
          <w:highlight w:val="none"/>
        </w:rPr>
        <w:t>委</w:t>
      </w:r>
      <w:r>
        <w:rPr>
          <w:rFonts w:hint="eastAsia" w:ascii="宋体" w:hAnsi="宋体" w:eastAsia="宋体" w:cs="宋体"/>
          <w:color w:val="auto"/>
          <w:position w:val="-2"/>
          <w:sz w:val="24"/>
          <w:szCs w:val="24"/>
          <w:highlight w:val="none"/>
        </w:rPr>
        <w:t>托</w:t>
      </w:r>
      <w:r>
        <w:rPr>
          <w:rFonts w:hint="eastAsia" w:ascii="宋体" w:hAnsi="宋体" w:eastAsia="宋体" w:cs="宋体"/>
          <w:color w:val="auto"/>
          <w:spacing w:val="-2"/>
          <w:position w:val="-2"/>
          <w:sz w:val="24"/>
          <w:szCs w:val="24"/>
          <w:highlight w:val="none"/>
        </w:rPr>
        <w:t>代理</w:t>
      </w:r>
      <w:r>
        <w:rPr>
          <w:rFonts w:hint="eastAsia" w:ascii="宋体" w:hAnsi="宋体" w:eastAsia="宋体" w:cs="宋体"/>
          <w:color w:val="auto"/>
          <w:position w:val="-2"/>
          <w:sz w:val="24"/>
          <w:szCs w:val="24"/>
          <w:highlight w:val="none"/>
        </w:rPr>
        <w:t>人：</w:t>
      </w:r>
      <w:r>
        <w:rPr>
          <w:rFonts w:ascii="宋体" w:hAnsi="宋体" w:eastAsia="宋体" w:cs="宋体"/>
          <w:color w:val="auto"/>
          <w:position w:val="-2"/>
          <w:sz w:val="24"/>
          <w:szCs w:val="24"/>
          <w:highlight w:val="none"/>
          <w:u w:val="single"/>
        </w:rPr>
        <w:t xml:space="preserve"> </w:t>
      </w:r>
      <w:r>
        <w:rPr>
          <w:rFonts w:ascii="宋体" w:hAnsi="宋体" w:eastAsia="宋体" w:cs="宋体"/>
          <w:color w:val="auto"/>
          <w:spacing w:val="1"/>
          <w:position w:val="-2"/>
          <w:sz w:val="24"/>
          <w:szCs w:val="24"/>
          <w:highlight w:val="none"/>
          <w:u w:val="single"/>
        </w:rPr>
        <w:t xml:space="preserve">     </w:t>
      </w:r>
      <w:r>
        <w:rPr>
          <w:rFonts w:ascii="宋体" w:hAnsi="宋体" w:eastAsia="宋体" w:cs="宋体"/>
          <w:color w:val="auto"/>
          <w:position w:val="-2"/>
          <w:sz w:val="24"/>
          <w:szCs w:val="24"/>
          <w:highlight w:val="none"/>
          <w:u w:val="single"/>
        </w:rPr>
        <w:tab/>
      </w:r>
      <w:r>
        <w:rPr>
          <w:rFonts w:hint="eastAsia" w:ascii="宋体" w:hAnsi="宋体" w:eastAsia="宋体" w:cs="宋体"/>
          <w:color w:val="auto"/>
          <w:spacing w:val="-2"/>
          <w:position w:val="-2"/>
          <w:sz w:val="24"/>
          <w:szCs w:val="24"/>
          <w:highlight w:val="none"/>
        </w:rPr>
        <w:t>（</w:t>
      </w:r>
      <w:r>
        <w:rPr>
          <w:rFonts w:hint="eastAsia" w:ascii="宋体" w:hAnsi="宋体" w:eastAsia="宋体" w:cs="宋体"/>
          <w:color w:val="auto"/>
          <w:position w:val="-2"/>
          <w:sz w:val="24"/>
          <w:szCs w:val="24"/>
          <w:highlight w:val="none"/>
        </w:rPr>
        <w:t>签</w:t>
      </w:r>
      <w:r>
        <w:rPr>
          <w:rFonts w:hint="eastAsia" w:ascii="宋体" w:hAnsi="宋体" w:eastAsia="宋体" w:cs="宋体"/>
          <w:color w:val="auto"/>
          <w:spacing w:val="-2"/>
          <w:position w:val="-2"/>
          <w:sz w:val="24"/>
          <w:szCs w:val="24"/>
          <w:highlight w:val="none"/>
        </w:rPr>
        <w:t>字</w:t>
      </w:r>
      <w:r>
        <w:rPr>
          <w:rFonts w:hint="eastAsia" w:ascii="宋体" w:hAnsi="宋体" w:eastAsia="宋体" w:cs="宋体"/>
          <w:color w:val="auto"/>
          <w:position w:val="-2"/>
          <w:sz w:val="24"/>
          <w:szCs w:val="24"/>
          <w:highlight w:val="none"/>
        </w:rPr>
        <w:t>）</w:t>
      </w:r>
    </w:p>
    <w:p w14:paraId="15C83117">
      <w:pPr>
        <w:tabs>
          <w:tab w:val="left" w:pos="7020"/>
        </w:tabs>
        <w:spacing w:line="360" w:lineRule="auto"/>
        <w:ind w:right="-20" w:firstLine="3000" w:firstLineChars="1250"/>
        <w:rPr>
          <w:rFonts w:ascii="宋体" w:hAnsi="宋体" w:eastAsia="宋体" w:cs="宋体"/>
          <w:color w:val="auto"/>
          <w:position w:val="-2"/>
          <w:sz w:val="24"/>
          <w:szCs w:val="24"/>
          <w:highlight w:val="none"/>
        </w:rPr>
      </w:pPr>
      <w:r>
        <w:rPr>
          <w:rFonts w:hint="eastAsia" w:ascii="宋体" w:hAnsi="宋体" w:eastAsia="宋体" w:cs="宋体"/>
          <w:color w:val="auto"/>
          <w:position w:val="-2"/>
          <w:sz w:val="24"/>
          <w:szCs w:val="24"/>
          <w:highlight w:val="none"/>
        </w:rPr>
        <w:t>日期：</w:t>
      </w:r>
      <w:r>
        <w:rPr>
          <w:rFonts w:ascii="宋体" w:hAnsi="宋体" w:eastAsia="宋体" w:cs="宋体"/>
          <w:color w:val="auto"/>
          <w:position w:val="-2"/>
          <w:sz w:val="24"/>
          <w:szCs w:val="24"/>
          <w:highlight w:val="none"/>
          <w:u w:val="single"/>
        </w:rPr>
        <w:t xml:space="preserve">    </w:t>
      </w:r>
      <w:r>
        <w:rPr>
          <w:rFonts w:hint="eastAsia" w:ascii="宋体" w:hAnsi="宋体" w:eastAsia="宋体" w:cs="宋体"/>
          <w:color w:val="auto"/>
          <w:position w:val="-2"/>
          <w:sz w:val="24"/>
          <w:szCs w:val="24"/>
          <w:highlight w:val="none"/>
        </w:rPr>
        <w:t>年</w:t>
      </w:r>
      <w:r>
        <w:rPr>
          <w:rFonts w:ascii="宋体" w:hAnsi="宋体" w:eastAsia="宋体" w:cs="宋体"/>
          <w:color w:val="auto"/>
          <w:position w:val="-2"/>
          <w:sz w:val="24"/>
          <w:szCs w:val="24"/>
          <w:highlight w:val="none"/>
          <w:u w:val="single"/>
        </w:rPr>
        <w:t xml:space="preserve">    </w:t>
      </w:r>
      <w:r>
        <w:rPr>
          <w:rFonts w:hint="eastAsia" w:ascii="宋体" w:hAnsi="宋体" w:eastAsia="宋体" w:cs="宋体"/>
          <w:color w:val="auto"/>
          <w:position w:val="-2"/>
          <w:sz w:val="24"/>
          <w:szCs w:val="24"/>
          <w:highlight w:val="none"/>
        </w:rPr>
        <w:t>月</w:t>
      </w:r>
      <w:r>
        <w:rPr>
          <w:rFonts w:ascii="宋体" w:hAnsi="宋体" w:eastAsia="宋体" w:cs="宋体"/>
          <w:color w:val="auto"/>
          <w:position w:val="-2"/>
          <w:sz w:val="24"/>
          <w:szCs w:val="24"/>
          <w:highlight w:val="none"/>
          <w:u w:val="single"/>
        </w:rPr>
        <w:t xml:space="preserve">    </w:t>
      </w:r>
      <w:r>
        <w:rPr>
          <w:rFonts w:hint="eastAsia" w:ascii="宋体" w:hAnsi="宋体" w:eastAsia="宋体" w:cs="宋体"/>
          <w:color w:val="auto"/>
          <w:position w:val="-2"/>
          <w:sz w:val="24"/>
          <w:szCs w:val="24"/>
          <w:highlight w:val="none"/>
        </w:rPr>
        <w:t>日</w:t>
      </w:r>
    </w:p>
    <w:p w14:paraId="593FD8E3">
      <w:pPr>
        <w:spacing w:line="360" w:lineRule="auto"/>
        <w:jc w:val="center"/>
        <w:rPr>
          <w:rFonts w:ascii="宋体" w:hAnsi="宋体" w:eastAsia="宋体"/>
          <w:bCs/>
          <w:color w:val="auto"/>
          <w:sz w:val="24"/>
          <w:szCs w:val="24"/>
          <w:highlight w:val="none"/>
        </w:rPr>
      </w:pPr>
    </w:p>
    <w:p w14:paraId="05054F8C">
      <w:pPr>
        <w:widowControl/>
        <w:jc w:val="left"/>
        <w:rPr>
          <w:rFonts w:ascii="宋体" w:hAnsi="宋体" w:eastAsia="宋体"/>
          <w:bCs/>
          <w:color w:val="auto"/>
          <w:sz w:val="24"/>
          <w:szCs w:val="24"/>
          <w:highlight w:val="none"/>
        </w:rPr>
      </w:pPr>
      <w:r>
        <w:rPr>
          <w:rFonts w:ascii="宋体" w:hAnsi="宋体" w:eastAsia="宋体"/>
          <w:bCs/>
          <w:color w:val="auto"/>
          <w:sz w:val="24"/>
          <w:szCs w:val="24"/>
          <w:highlight w:val="none"/>
        </w:rPr>
        <w:br w:type="page"/>
      </w:r>
    </w:p>
    <w:p w14:paraId="25A6A8F5">
      <w:pPr>
        <w:pStyle w:val="3"/>
        <w:rPr>
          <w:color w:val="auto"/>
          <w:highlight w:val="none"/>
        </w:rPr>
      </w:pPr>
      <w:bookmarkStart w:id="315" w:name="_Toc225409717"/>
      <w:bookmarkStart w:id="316" w:name="_Toc162622247"/>
      <w:bookmarkStart w:id="317" w:name="_Toc225409568"/>
      <w:bookmarkStart w:id="318" w:name="_Toc162619012"/>
      <w:bookmarkStart w:id="319" w:name="_Toc225415940"/>
      <w:bookmarkStart w:id="320" w:name="_Toc495555561"/>
      <w:bookmarkStart w:id="321" w:name="_Toc36466619"/>
      <w:bookmarkStart w:id="322" w:name="_Toc168286983"/>
      <w:bookmarkStart w:id="323" w:name="_Toc210364705"/>
      <w:bookmarkStart w:id="324" w:name="_Toc45266451"/>
      <w:bookmarkStart w:id="325" w:name="_Toc225412053"/>
      <w:bookmarkStart w:id="326" w:name="_Toc225409833"/>
      <w:bookmarkStart w:id="327" w:name="_Toc138236380"/>
      <w:bookmarkStart w:id="328" w:name="_Toc225410049"/>
      <w:bookmarkStart w:id="329" w:name="_Toc225410681"/>
      <w:bookmarkStart w:id="330" w:name="_Toc225396600"/>
      <w:bookmarkStart w:id="331" w:name="_Toc51055769"/>
      <w:bookmarkStart w:id="332" w:name="_Toc225412255"/>
      <w:bookmarkStart w:id="333" w:name="_Toc210355381"/>
      <w:bookmarkStart w:id="334" w:name="_Toc210327519"/>
      <w:bookmarkStart w:id="335" w:name="_Toc532629093"/>
      <w:bookmarkStart w:id="336" w:name="_Toc225411535"/>
      <w:bookmarkStart w:id="337" w:name="_Toc225415538"/>
      <w:bookmarkStart w:id="338" w:name="_Toc27478"/>
      <w:bookmarkStart w:id="339" w:name="_Toc7182"/>
      <w:bookmarkStart w:id="340" w:name="_Toc225415739"/>
      <w:bookmarkStart w:id="341" w:name="_Toc27948999"/>
      <w:bookmarkStart w:id="342" w:name="_Toc218828569"/>
      <w:bookmarkStart w:id="343" w:name="_Toc225411457"/>
      <w:r>
        <w:rPr>
          <w:rFonts w:hint="eastAsia"/>
          <w:color w:val="auto"/>
          <w:highlight w:val="none"/>
        </w:rPr>
        <w:t>附件四：中标通知书</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p>
    <w:p w14:paraId="1A05C151">
      <w:pPr>
        <w:spacing w:line="360" w:lineRule="auto"/>
        <w:rPr>
          <w:rFonts w:ascii="宋体" w:hAnsi="宋体" w:eastAsia="宋体"/>
          <w:color w:val="auto"/>
          <w:sz w:val="24"/>
          <w:szCs w:val="24"/>
          <w:highlight w:val="none"/>
        </w:rPr>
      </w:pPr>
      <w:r>
        <w:rPr>
          <w:rFonts w:ascii="宋体" w:hAnsi="宋体" w:eastAsia="宋体"/>
          <w:color w:val="auto"/>
          <w:sz w:val="24"/>
          <w:szCs w:val="24"/>
          <w:highlight w:val="none"/>
        </w:rPr>
        <w:t>/</w:t>
      </w:r>
    </w:p>
    <w:p w14:paraId="07A668A5">
      <w:pPr>
        <w:spacing w:line="360" w:lineRule="auto"/>
        <w:rPr>
          <w:rFonts w:ascii="宋体" w:hAnsi="宋体" w:eastAsia="宋体"/>
          <w:color w:val="auto"/>
          <w:sz w:val="24"/>
          <w:szCs w:val="24"/>
          <w:highlight w:val="none"/>
        </w:rPr>
      </w:pPr>
    </w:p>
    <w:p w14:paraId="2186CC62">
      <w:pPr>
        <w:pStyle w:val="30"/>
        <w:rPr>
          <w:rFonts w:ascii="宋体" w:hAnsi="宋体"/>
          <w:color w:val="auto"/>
          <w:highlight w:val="none"/>
        </w:rPr>
        <w:sectPr>
          <w:pgSz w:w="11906" w:h="16838"/>
          <w:pgMar w:top="1440" w:right="1800" w:bottom="1440" w:left="1800" w:header="720" w:footer="720" w:gutter="0"/>
          <w:pgBorders>
            <w:top w:val="none" w:sz="0" w:space="0"/>
            <w:left w:val="none" w:sz="0" w:space="0"/>
            <w:bottom w:val="none" w:sz="0" w:space="0"/>
            <w:right w:val="none" w:sz="0" w:space="0"/>
          </w:pgBorders>
          <w:cols w:space="720" w:num="1"/>
          <w:docGrid w:linePitch="285" w:charSpace="0"/>
        </w:sectPr>
      </w:pPr>
    </w:p>
    <w:p w14:paraId="741D2414">
      <w:pPr>
        <w:pStyle w:val="2"/>
        <w:rPr>
          <w:color w:val="auto"/>
          <w:highlight w:val="none"/>
        </w:rPr>
      </w:pPr>
      <w:bookmarkStart w:id="344" w:name="_Toc138236381"/>
      <w:bookmarkStart w:id="345" w:name="_Toc5165"/>
      <w:r>
        <w:rPr>
          <w:rFonts w:hint="eastAsia"/>
          <w:color w:val="auto"/>
          <w:highlight w:val="none"/>
        </w:rPr>
        <w:t>第三章</w:t>
      </w:r>
      <w:r>
        <w:rPr>
          <w:color w:val="auto"/>
          <w:highlight w:val="none"/>
        </w:rPr>
        <w:t xml:space="preserve"> </w:t>
      </w:r>
      <w:r>
        <w:rPr>
          <w:rFonts w:hint="eastAsia"/>
          <w:color w:val="auto"/>
          <w:highlight w:val="none"/>
        </w:rPr>
        <w:t>评标办法（综合评估法）</w:t>
      </w:r>
      <w:bookmarkEnd w:id="344"/>
      <w:bookmarkEnd w:id="345"/>
    </w:p>
    <w:p w14:paraId="61901319">
      <w:pPr>
        <w:pStyle w:val="3"/>
        <w:jc w:val="center"/>
        <w:rPr>
          <w:color w:val="auto"/>
          <w:highlight w:val="none"/>
        </w:rPr>
      </w:pPr>
      <w:bookmarkStart w:id="346" w:name="_Toc138236382"/>
      <w:bookmarkStart w:id="347" w:name="_Toc2314"/>
      <w:r>
        <w:rPr>
          <w:rFonts w:hint="eastAsia"/>
          <w:color w:val="auto"/>
          <w:highlight w:val="none"/>
        </w:rPr>
        <w:t>评标办法前附表</w:t>
      </w:r>
      <w:bookmarkEnd w:id="346"/>
      <w:bookmarkEnd w:id="347"/>
    </w:p>
    <w:tbl>
      <w:tblPr>
        <w:tblStyle w:val="32"/>
        <w:tblW w:w="10005" w:type="dxa"/>
        <w:tblInd w:w="-51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94"/>
        <w:gridCol w:w="113"/>
        <w:gridCol w:w="1304"/>
        <w:gridCol w:w="1568"/>
        <w:gridCol w:w="6219"/>
        <w:gridCol w:w="7"/>
      </w:tblGrid>
      <w:tr w14:paraId="673C00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54" w:hRule="atLeast"/>
        </w:trPr>
        <w:tc>
          <w:tcPr>
            <w:tcW w:w="2211" w:type="dxa"/>
            <w:gridSpan w:val="3"/>
            <w:tcBorders>
              <w:top w:val="single" w:color="auto" w:sz="4" w:space="0"/>
              <w:bottom w:val="single" w:color="auto" w:sz="4" w:space="0"/>
              <w:right w:val="single" w:color="auto" w:sz="4" w:space="0"/>
            </w:tcBorders>
            <w:noWrap/>
            <w:vAlign w:val="center"/>
          </w:tcPr>
          <w:p w14:paraId="045DB967">
            <w:pPr>
              <w:spacing w:line="276" w:lineRule="auto"/>
              <w:jc w:val="center"/>
              <w:rPr>
                <w:rFonts w:ascii="宋体" w:hAnsi="宋体" w:eastAsia="宋体"/>
                <w:b/>
                <w:color w:val="auto"/>
                <w:szCs w:val="21"/>
                <w:highlight w:val="none"/>
              </w:rPr>
            </w:pPr>
            <w:r>
              <w:rPr>
                <w:rFonts w:ascii="宋体" w:hAnsi="宋体" w:eastAsia="宋体"/>
                <w:b/>
                <w:color w:val="auto"/>
                <w:szCs w:val="21"/>
                <w:highlight w:val="none"/>
              </w:rPr>
              <w:t>条款号</w:t>
            </w:r>
          </w:p>
        </w:tc>
        <w:tc>
          <w:tcPr>
            <w:tcW w:w="1568" w:type="dxa"/>
            <w:tcBorders>
              <w:top w:val="single" w:color="auto" w:sz="4" w:space="0"/>
              <w:left w:val="single" w:color="auto" w:sz="4" w:space="0"/>
              <w:bottom w:val="single" w:color="auto" w:sz="4" w:space="0"/>
              <w:right w:val="single" w:color="auto" w:sz="4" w:space="0"/>
            </w:tcBorders>
            <w:noWrap/>
            <w:vAlign w:val="center"/>
          </w:tcPr>
          <w:p w14:paraId="5BC31D7F">
            <w:pPr>
              <w:spacing w:line="276" w:lineRule="auto"/>
              <w:jc w:val="center"/>
              <w:rPr>
                <w:rFonts w:ascii="宋体" w:hAnsi="宋体" w:eastAsia="宋体"/>
                <w:b/>
                <w:color w:val="auto"/>
                <w:szCs w:val="21"/>
                <w:highlight w:val="none"/>
              </w:rPr>
            </w:pPr>
            <w:r>
              <w:rPr>
                <w:rFonts w:ascii="宋体" w:hAnsi="宋体" w:eastAsia="宋体"/>
                <w:b/>
                <w:color w:val="auto"/>
                <w:szCs w:val="21"/>
                <w:highlight w:val="none"/>
              </w:rPr>
              <w:t>评审因素</w:t>
            </w:r>
          </w:p>
        </w:tc>
        <w:tc>
          <w:tcPr>
            <w:tcW w:w="6219" w:type="dxa"/>
            <w:tcBorders>
              <w:top w:val="single" w:color="auto" w:sz="4" w:space="0"/>
              <w:left w:val="single" w:color="auto" w:sz="4" w:space="0"/>
              <w:bottom w:val="single" w:color="auto" w:sz="4" w:space="0"/>
              <w:right w:val="single" w:color="auto" w:sz="4" w:space="0"/>
            </w:tcBorders>
            <w:noWrap/>
            <w:vAlign w:val="center"/>
          </w:tcPr>
          <w:p w14:paraId="001C5B5E">
            <w:pPr>
              <w:spacing w:line="276" w:lineRule="auto"/>
              <w:jc w:val="center"/>
              <w:rPr>
                <w:rFonts w:ascii="宋体" w:hAnsi="宋体" w:eastAsia="宋体"/>
                <w:b/>
                <w:color w:val="auto"/>
                <w:szCs w:val="21"/>
                <w:highlight w:val="none"/>
              </w:rPr>
            </w:pPr>
            <w:r>
              <w:rPr>
                <w:rFonts w:ascii="宋体" w:hAnsi="宋体" w:eastAsia="宋体"/>
                <w:b/>
                <w:color w:val="auto"/>
                <w:szCs w:val="21"/>
                <w:highlight w:val="none"/>
              </w:rPr>
              <w:t>评审标准</w:t>
            </w:r>
          </w:p>
        </w:tc>
      </w:tr>
      <w:tr w14:paraId="355D47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506" w:hRule="atLeast"/>
        </w:trPr>
        <w:tc>
          <w:tcPr>
            <w:tcW w:w="794" w:type="dxa"/>
            <w:tcBorders>
              <w:top w:val="single" w:color="auto" w:sz="4" w:space="0"/>
              <w:left w:val="single" w:color="auto" w:sz="4" w:space="0"/>
              <w:bottom w:val="single" w:color="auto" w:sz="4" w:space="0"/>
              <w:right w:val="single" w:color="auto" w:sz="4" w:space="0"/>
            </w:tcBorders>
            <w:noWrap/>
            <w:vAlign w:val="center"/>
          </w:tcPr>
          <w:p w14:paraId="51BC85D9">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1</w:t>
            </w:r>
          </w:p>
        </w:tc>
        <w:tc>
          <w:tcPr>
            <w:tcW w:w="1417" w:type="dxa"/>
            <w:gridSpan w:val="2"/>
            <w:tcBorders>
              <w:top w:val="single" w:color="auto" w:sz="4" w:space="0"/>
              <w:left w:val="single" w:color="auto" w:sz="4" w:space="0"/>
              <w:bottom w:val="single" w:color="auto" w:sz="4" w:space="0"/>
              <w:right w:val="single" w:color="auto" w:sz="4" w:space="0"/>
            </w:tcBorders>
            <w:noWrap/>
            <w:vAlign w:val="center"/>
          </w:tcPr>
          <w:p w14:paraId="4C69C596">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评标方法</w:t>
            </w:r>
          </w:p>
        </w:tc>
        <w:tc>
          <w:tcPr>
            <w:tcW w:w="1568" w:type="dxa"/>
            <w:tcBorders>
              <w:top w:val="single" w:color="auto" w:sz="4" w:space="0"/>
              <w:left w:val="single" w:color="auto" w:sz="4" w:space="0"/>
              <w:bottom w:val="single" w:color="auto" w:sz="4" w:space="0"/>
              <w:right w:val="single" w:color="auto" w:sz="4" w:space="0"/>
            </w:tcBorders>
            <w:noWrap/>
            <w:vAlign w:val="center"/>
          </w:tcPr>
          <w:p w14:paraId="1EDAF512">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中标候选人排序方法</w:t>
            </w:r>
          </w:p>
        </w:tc>
        <w:tc>
          <w:tcPr>
            <w:tcW w:w="6219" w:type="dxa"/>
            <w:tcBorders>
              <w:top w:val="single" w:color="auto" w:sz="4" w:space="0"/>
              <w:left w:val="single" w:color="auto" w:sz="4" w:space="0"/>
              <w:bottom w:val="single" w:color="auto" w:sz="4" w:space="0"/>
              <w:right w:val="single" w:color="auto" w:sz="4" w:space="0"/>
            </w:tcBorders>
            <w:noWrap/>
            <w:vAlign w:val="top"/>
          </w:tcPr>
          <w:p w14:paraId="1A372870">
            <w:pPr>
              <w:spacing w:line="276" w:lineRule="auto"/>
              <w:jc w:val="left"/>
              <w:rPr>
                <w:rFonts w:ascii="宋体" w:hAnsi="宋体" w:eastAsia="宋体"/>
                <w:color w:val="auto"/>
                <w:szCs w:val="21"/>
                <w:highlight w:val="none"/>
              </w:rPr>
            </w:pPr>
            <w:r>
              <w:rPr>
                <w:rFonts w:ascii="宋体" w:hAnsi="宋体" w:eastAsia="宋体"/>
                <w:color w:val="auto"/>
                <w:szCs w:val="21"/>
                <w:highlight w:val="none"/>
              </w:rPr>
              <w:t>1.本次评标采用综合评估法。</w:t>
            </w:r>
          </w:p>
          <w:p w14:paraId="22AD2F6F">
            <w:pPr>
              <w:spacing w:line="276" w:lineRule="auto"/>
              <w:jc w:val="left"/>
              <w:rPr>
                <w:rFonts w:ascii="宋体" w:hAnsi="宋体" w:eastAsia="宋体"/>
                <w:color w:val="auto"/>
                <w:szCs w:val="21"/>
                <w:highlight w:val="none"/>
              </w:rPr>
            </w:pPr>
            <w:r>
              <w:rPr>
                <w:rFonts w:ascii="宋体" w:hAnsi="宋体" w:eastAsia="宋体"/>
                <w:color w:val="auto"/>
                <w:szCs w:val="21"/>
                <w:highlight w:val="none"/>
              </w:rPr>
              <w:t>2.投标人综合得分由高到低排序前3名作为第一、第二、第三中标候选人。综合评分相等时，以投标报价</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基础代理佣金</w:t>
            </w:r>
            <w:r>
              <w:rPr>
                <w:rFonts w:hint="eastAsia" w:ascii="宋体" w:hAnsi="宋体" w:eastAsia="宋体"/>
                <w:color w:val="auto"/>
                <w:szCs w:val="21"/>
                <w:highlight w:val="none"/>
                <w:lang w:eastAsia="zh-CN"/>
              </w:rPr>
              <w:t>）</w:t>
            </w:r>
            <w:r>
              <w:rPr>
                <w:rFonts w:ascii="宋体" w:hAnsi="宋体" w:eastAsia="宋体"/>
                <w:color w:val="auto"/>
                <w:szCs w:val="21"/>
                <w:highlight w:val="none"/>
              </w:rPr>
              <w:t>低的优先；投标报价</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基础代理佣金</w:t>
            </w:r>
            <w:r>
              <w:rPr>
                <w:rFonts w:hint="eastAsia" w:ascii="宋体" w:hAnsi="宋体" w:eastAsia="宋体"/>
                <w:color w:val="auto"/>
                <w:szCs w:val="21"/>
                <w:highlight w:val="none"/>
                <w:lang w:eastAsia="zh-CN"/>
              </w:rPr>
              <w:t>）</w:t>
            </w:r>
            <w:r>
              <w:rPr>
                <w:rFonts w:ascii="宋体" w:hAnsi="宋体" w:eastAsia="宋体"/>
                <w:color w:val="auto"/>
                <w:szCs w:val="21"/>
                <w:highlight w:val="none"/>
              </w:rPr>
              <w:t>也相等的，以技术服务方案得分高的优先；如果技术服务方案得分也相等，</w:t>
            </w:r>
            <w:r>
              <w:rPr>
                <w:rFonts w:hint="eastAsia" w:ascii="宋体" w:hAnsi="宋体" w:eastAsia="宋体"/>
                <w:color w:val="auto"/>
                <w:szCs w:val="21"/>
                <w:highlight w:val="none"/>
                <w:u w:val="single"/>
              </w:rPr>
              <w:t>则由评标委员会投票表决推荐排名优先的投标人。</w:t>
            </w:r>
          </w:p>
        </w:tc>
      </w:tr>
      <w:tr w14:paraId="24E158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Height w:val="446" w:hRule="atLeast"/>
        </w:trPr>
        <w:tc>
          <w:tcPr>
            <w:tcW w:w="794" w:type="dxa"/>
            <w:vMerge w:val="restart"/>
            <w:tcBorders>
              <w:top w:val="single" w:color="auto" w:sz="4" w:space="0"/>
              <w:right w:val="single" w:color="auto" w:sz="4" w:space="0"/>
            </w:tcBorders>
            <w:noWrap/>
            <w:vAlign w:val="center"/>
          </w:tcPr>
          <w:p w14:paraId="72A3937D">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2.1.1</w:t>
            </w:r>
          </w:p>
        </w:tc>
        <w:tc>
          <w:tcPr>
            <w:tcW w:w="1417" w:type="dxa"/>
            <w:gridSpan w:val="2"/>
            <w:vMerge w:val="restart"/>
            <w:tcBorders>
              <w:top w:val="single" w:color="auto" w:sz="4" w:space="0"/>
              <w:right w:val="single" w:color="auto" w:sz="4" w:space="0"/>
            </w:tcBorders>
            <w:noWrap/>
            <w:vAlign w:val="center"/>
          </w:tcPr>
          <w:p w14:paraId="0FEBCBEA">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形式评审标准</w:t>
            </w:r>
          </w:p>
        </w:tc>
        <w:tc>
          <w:tcPr>
            <w:tcW w:w="1568" w:type="dxa"/>
            <w:tcBorders>
              <w:top w:val="single" w:color="auto" w:sz="4" w:space="0"/>
              <w:left w:val="single" w:color="auto" w:sz="4" w:space="0"/>
              <w:bottom w:val="single" w:color="auto" w:sz="4" w:space="0"/>
              <w:right w:val="single" w:color="auto" w:sz="4" w:space="0"/>
            </w:tcBorders>
            <w:noWrap/>
            <w:vAlign w:val="center"/>
          </w:tcPr>
          <w:p w14:paraId="17AD07CE">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投标人名称</w:t>
            </w:r>
          </w:p>
        </w:tc>
        <w:tc>
          <w:tcPr>
            <w:tcW w:w="6219" w:type="dxa"/>
            <w:tcBorders>
              <w:top w:val="single" w:color="auto" w:sz="4" w:space="0"/>
              <w:left w:val="single" w:color="auto" w:sz="4" w:space="0"/>
              <w:bottom w:val="single" w:color="auto" w:sz="4" w:space="0"/>
              <w:right w:val="single" w:color="auto" w:sz="4" w:space="0"/>
            </w:tcBorders>
            <w:noWrap/>
            <w:vAlign w:val="center"/>
          </w:tcPr>
          <w:p w14:paraId="319D7A7A">
            <w:pPr>
              <w:spacing w:line="276" w:lineRule="auto"/>
              <w:rPr>
                <w:rFonts w:ascii="宋体" w:hAnsi="宋体" w:eastAsia="宋体"/>
                <w:color w:val="auto"/>
                <w:szCs w:val="21"/>
                <w:highlight w:val="none"/>
              </w:rPr>
            </w:pPr>
            <w:r>
              <w:rPr>
                <w:rFonts w:ascii="宋体" w:hAnsi="宋体" w:eastAsia="宋体"/>
                <w:color w:val="auto"/>
                <w:szCs w:val="21"/>
                <w:highlight w:val="none"/>
              </w:rPr>
              <w:t>与营业执照、资质证书</w:t>
            </w:r>
            <w:r>
              <w:rPr>
                <w:rFonts w:hint="eastAsia" w:ascii="宋体" w:hAnsi="宋体" w:eastAsia="宋体"/>
                <w:color w:val="auto"/>
                <w:szCs w:val="21"/>
                <w:highlight w:val="none"/>
              </w:rPr>
              <w:t>（如要求）</w:t>
            </w:r>
            <w:r>
              <w:rPr>
                <w:rFonts w:ascii="宋体" w:hAnsi="宋体" w:eastAsia="宋体"/>
                <w:color w:val="auto"/>
                <w:szCs w:val="21"/>
                <w:highlight w:val="none"/>
              </w:rPr>
              <w:t>一致</w:t>
            </w:r>
            <w:r>
              <w:rPr>
                <w:rFonts w:hint="eastAsia" w:ascii="宋体" w:hAnsi="宋体" w:eastAsia="宋体"/>
                <w:color w:val="auto"/>
                <w:szCs w:val="21"/>
                <w:highlight w:val="none"/>
              </w:rPr>
              <w:t>。</w:t>
            </w:r>
          </w:p>
        </w:tc>
      </w:tr>
      <w:tr w14:paraId="3DB0C3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right w:val="single" w:color="auto" w:sz="4" w:space="0"/>
            </w:tcBorders>
            <w:noWrap/>
            <w:vAlign w:val="center"/>
          </w:tcPr>
          <w:p w14:paraId="64F3C233">
            <w:pPr>
              <w:spacing w:line="276" w:lineRule="auto"/>
              <w:rPr>
                <w:rFonts w:ascii="宋体" w:hAnsi="宋体" w:eastAsia="宋体"/>
                <w:color w:val="auto"/>
                <w:szCs w:val="21"/>
                <w:highlight w:val="none"/>
              </w:rPr>
            </w:pPr>
          </w:p>
        </w:tc>
        <w:tc>
          <w:tcPr>
            <w:tcW w:w="1417" w:type="dxa"/>
            <w:gridSpan w:val="2"/>
            <w:vMerge w:val="continue"/>
            <w:tcBorders>
              <w:right w:val="single" w:color="auto" w:sz="4" w:space="0"/>
            </w:tcBorders>
            <w:noWrap/>
            <w:vAlign w:val="center"/>
          </w:tcPr>
          <w:p w14:paraId="17742C3C">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73523653">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投标函</w:t>
            </w:r>
            <w:r>
              <w:rPr>
                <w:rFonts w:hint="eastAsia" w:ascii="宋体" w:hAnsi="宋体" w:eastAsia="宋体"/>
                <w:color w:val="auto"/>
                <w:szCs w:val="21"/>
                <w:highlight w:val="none"/>
              </w:rPr>
              <w:t>及投标函附录</w:t>
            </w:r>
            <w:r>
              <w:rPr>
                <w:rFonts w:ascii="宋体" w:hAnsi="宋体" w:eastAsia="宋体"/>
                <w:color w:val="auto"/>
                <w:szCs w:val="21"/>
                <w:highlight w:val="none"/>
              </w:rPr>
              <w:t>签字盖章</w:t>
            </w:r>
          </w:p>
        </w:tc>
        <w:tc>
          <w:tcPr>
            <w:tcW w:w="6219" w:type="dxa"/>
            <w:tcBorders>
              <w:top w:val="single" w:color="auto" w:sz="4" w:space="0"/>
              <w:left w:val="single" w:color="auto" w:sz="4" w:space="0"/>
              <w:bottom w:val="single" w:color="auto" w:sz="4" w:space="0"/>
              <w:right w:val="single" w:color="auto" w:sz="4" w:space="0"/>
            </w:tcBorders>
            <w:noWrap/>
            <w:vAlign w:val="center"/>
          </w:tcPr>
          <w:p w14:paraId="1FF1C13D">
            <w:pPr>
              <w:spacing w:line="276" w:lineRule="auto"/>
              <w:rPr>
                <w:rFonts w:ascii="宋体" w:hAnsi="宋体" w:eastAsia="宋体"/>
                <w:color w:val="auto"/>
                <w:szCs w:val="21"/>
                <w:highlight w:val="none"/>
              </w:rPr>
            </w:pPr>
            <w:r>
              <w:rPr>
                <w:rFonts w:ascii="宋体" w:hAnsi="宋体" w:eastAsia="宋体"/>
                <w:color w:val="auto"/>
                <w:szCs w:val="21"/>
                <w:highlight w:val="none"/>
              </w:rPr>
              <w:t>有法定代表人或其委托代理人签字</w:t>
            </w:r>
            <w:r>
              <w:rPr>
                <w:rFonts w:hint="eastAsia" w:ascii="宋体" w:hAnsi="宋体" w:eastAsia="宋体"/>
                <w:color w:val="auto"/>
                <w:szCs w:val="21"/>
                <w:highlight w:val="none"/>
              </w:rPr>
              <w:t>及</w:t>
            </w:r>
            <w:r>
              <w:rPr>
                <w:rFonts w:ascii="宋体" w:hAnsi="宋体" w:eastAsia="宋体"/>
                <w:color w:val="auto"/>
                <w:szCs w:val="21"/>
                <w:highlight w:val="none"/>
              </w:rPr>
              <w:t>加盖单位章。由法定代表人签字的，应附法定代表人身份证明，由代理人签字的，应附授权委托书，身份证明或授权委托书应符合第六章“投标文件格式”的规定</w:t>
            </w:r>
            <w:r>
              <w:rPr>
                <w:rFonts w:hint="eastAsia" w:ascii="宋体" w:hAnsi="宋体" w:eastAsia="宋体"/>
                <w:color w:val="auto"/>
                <w:szCs w:val="21"/>
                <w:highlight w:val="none"/>
              </w:rPr>
              <w:t>。</w:t>
            </w:r>
          </w:p>
        </w:tc>
      </w:tr>
      <w:tr w14:paraId="152622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right w:val="single" w:color="auto" w:sz="4" w:space="0"/>
            </w:tcBorders>
            <w:noWrap/>
            <w:vAlign w:val="center"/>
          </w:tcPr>
          <w:p w14:paraId="2782871C">
            <w:pPr>
              <w:spacing w:line="276" w:lineRule="auto"/>
              <w:rPr>
                <w:rFonts w:ascii="宋体" w:hAnsi="宋体" w:eastAsia="宋体"/>
                <w:color w:val="auto"/>
                <w:szCs w:val="21"/>
                <w:highlight w:val="none"/>
              </w:rPr>
            </w:pPr>
          </w:p>
        </w:tc>
        <w:tc>
          <w:tcPr>
            <w:tcW w:w="1417" w:type="dxa"/>
            <w:gridSpan w:val="2"/>
            <w:vMerge w:val="continue"/>
            <w:tcBorders>
              <w:right w:val="single" w:color="auto" w:sz="4" w:space="0"/>
            </w:tcBorders>
            <w:noWrap/>
            <w:vAlign w:val="center"/>
          </w:tcPr>
          <w:p w14:paraId="5F28C29D">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07EEC20E">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投标文件格式</w:t>
            </w:r>
          </w:p>
        </w:tc>
        <w:tc>
          <w:tcPr>
            <w:tcW w:w="6219" w:type="dxa"/>
            <w:tcBorders>
              <w:top w:val="single" w:color="auto" w:sz="4" w:space="0"/>
              <w:left w:val="single" w:color="auto" w:sz="4" w:space="0"/>
              <w:bottom w:val="single" w:color="auto" w:sz="4" w:space="0"/>
              <w:right w:val="single" w:color="auto" w:sz="4" w:space="0"/>
            </w:tcBorders>
            <w:noWrap/>
            <w:vAlign w:val="center"/>
          </w:tcPr>
          <w:p w14:paraId="79544CB5">
            <w:pPr>
              <w:spacing w:line="276" w:lineRule="auto"/>
              <w:rPr>
                <w:rFonts w:ascii="宋体" w:hAnsi="宋体" w:eastAsia="宋体"/>
                <w:color w:val="auto"/>
                <w:szCs w:val="21"/>
                <w:highlight w:val="none"/>
              </w:rPr>
            </w:pPr>
            <w:r>
              <w:rPr>
                <w:rFonts w:ascii="宋体" w:hAnsi="宋体" w:eastAsia="宋体"/>
                <w:color w:val="auto"/>
                <w:szCs w:val="21"/>
                <w:highlight w:val="none"/>
              </w:rPr>
              <w:t>符合第六章“投标文件格式”的规定</w:t>
            </w:r>
            <w:r>
              <w:rPr>
                <w:rFonts w:hint="eastAsia" w:ascii="宋体" w:hAnsi="宋体" w:eastAsia="宋体"/>
                <w:color w:val="auto"/>
                <w:szCs w:val="21"/>
                <w:highlight w:val="none"/>
              </w:rPr>
              <w:t>。</w:t>
            </w:r>
          </w:p>
        </w:tc>
      </w:tr>
      <w:tr w14:paraId="741687A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right w:val="single" w:color="auto" w:sz="4" w:space="0"/>
            </w:tcBorders>
            <w:noWrap/>
            <w:vAlign w:val="center"/>
          </w:tcPr>
          <w:p w14:paraId="37BE6213">
            <w:pPr>
              <w:spacing w:line="276" w:lineRule="auto"/>
              <w:rPr>
                <w:rFonts w:ascii="宋体" w:hAnsi="宋体" w:eastAsia="宋体"/>
                <w:color w:val="auto"/>
                <w:szCs w:val="21"/>
                <w:highlight w:val="none"/>
              </w:rPr>
            </w:pPr>
          </w:p>
        </w:tc>
        <w:tc>
          <w:tcPr>
            <w:tcW w:w="1417" w:type="dxa"/>
            <w:gridSpan w:val="2"/>
            <w:vMerge w:val="continue"/>
            <w:tcBorders>
              <w:right w:val="single" w:color="auto" w:sz="4" w:space="0"/>
            </w:tcBorders>
            <w:noWrap/>
            <w:vAlign w:val="center"/>
          </w:tcPr>
          <w:p w14:paraId="2BB1BA8E">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095BAD72">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备选投标方案</w:t>
            </w:r>
          </w:p>
        </w:tc>
        <w:tc>
          <w:tcPr>
            <w:tcW w:w="6219" w:type="dxa"/>
            <w:tcBorders>
              <w:top w:val="single" w:color="auto" w:sz="4" w:space="0"/>
              <w:left w:val="single" w:color="auto" w:sz="4" w:space="0"/>
              <w:bottom w:val="single" w:color="auto" w:sz="4" w:space="0"/>
              <w:right w:val="single" w:color="auto" w:sz="4" w:space="0"/>
            </w:tcBorders>
            <w:noWrap/>
            <w:vAlign w:val="center"/>
          </w:tcPr>
          <w:p w14:paraId="555DA136">
            <w:pPr>
              <w:spacing w:line="276" w:lineRule="auto"/>
              <w:rPr>
                <w:rFonts w:ascii="宋体" w:hAnsi="宋体" w:eastAsia="宋体"/>
                <w:color w:val="auto"/>
                <w:szCs w:val="21"/>
                <w:highlight w:val="none"/>
              </w:rPr>
            </w:pPr>
            <w:r>
              <w:rPr>
                <w:rFonts w:ascii="宋体" w:hAnsi="宋体" w:eastAsia="宋体"/>
                <w:color w:val="auto"/>
                <w:szCs w:val="21"/>
                <w:highlight w:val="none"/>
              </w:rPr>
              <w:t>不允许。</w:t>
            </w:r>
          </w:p>
        </w:tc>
      </w:tr>
      <w:tr w14:paraId="229464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Height w:val="724" w:hRule="atLeast"/>
        </w:trPr>
        <w:tc>
          <w:tcPr>
            <w:tcW w:w="794" w:type="dxa"/>
            <w:vMerge w:val="restart"/>
            <w:tcBorders>
              <w:top w:val="single" w:color="auto" w:sz="4" w:space="0"/>
              <w:bottom w:val="single" w:color="auto" w:sz="4" w:space="0"/>
              <w:right w:val="single" w:color="auto" w:sz="4" w:space="0"/>
            </w:tcBorders>
            <w:noWrap/>
            <w:vAlign w:val="center"/>
          </w:tcPr>
          <w:p w14:paraId="2CA1C64B">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2.1.2</w:t>
            </w:r>
          </w:p>
        </w:tc>
        <w:tc>
          <w:tcPr>
            <w:tcW w:w="1417" w:type="dxa"/>
            <w:gridSpan w:val="2"/>
            <w:vMerge w:val="restart"/>
            <w:tcBorders>
              <w:top w:val="single" w:color="auto" w:sz="4" w:space="0"/>
              <w:left w:val="single" w:color="auto" w:sz="4" w:space="0"/>
              <w:bottom w:val="single" w:color="auto" w:sz="4" w:space="0"/>
              <w:right w:val="single" w:color="auto" w:sz="4" w:space="0"/>
            </w:tcBorders>
            <w:noWrap/>
            <w:vAlign w:val="center"/>
          </w:tcPr>
          <w:p w14:paraId="45F9375D">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资格评审标准</w:t>
            </w:r>
          </w:p>
        </w:tc>
        <w:tc>
          <w:tcPr>
            <w:tcW w:w="1568" w:type="dxa"/>
            <w:tcBorders>
              <w:top w:val="single" w:color="auto" w:sz="4" w:space="0"/>
              <w:left w:val="single" w:color="auto" w:sz="4" w:space="0"/>
              <w:bottom w:val="single" w:color="auto" w:sz="4" w:space="0"/>
              <w:right w:val="single" w:color="auto" w:sz="4" w:space="0"/>
            </w:tcBorders>
            <w:noWrap/>
            <w:vAlign w:val="center"/>
          </w:tcPr>
          <w:p w14:paraId="5C738C6B">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营业执照和组织机构代码证</w:t>
            </w:r>
          </w:p>
        </w:tc>
        <w:tc>
          <w:tcPr>
            <w:tcW w:w="6219" w:type="dxa"/>
            <w:tcBorders>
              <w:top w:val="single" w:color="auto" w:sz="4" w:space="0"/>
              <w:left w:val="single" w:color="auto" w:sz="4" w:space="0"/>
              <w:bottom w:val="single" w:color="auto" w:sz="4" w:space="0"/>
              <w:right w:val="single" w:color="auto" w:sz="4" w:space="0"/>
            </w:tcBorders>
            <w:noWrap/>
            <w:vAlign w:val="center"/>
          </w:tcPr>
          <w:p w14:paraId="480A05D1">
            <w:pPr>
              <w:spacing w:line="276" w:lineRule="auto"/>
              <w:rPr>
                <w:rFonts w:ascii="宋体" w:hAnsi="宋体" w:eastAsia="宋体"/>
                <w:color w:val="auto"/>
                <w:szCs w:val="21"/>
                <w:highlight w:val="none"/>
              </w:rPr>
            </w:pPr>
            <w:r>
              <w:rPr>
                <w:rFonts w:ascii="宋体" w:hAnsi="宋体" w:eastAsia="宋体"/>
                <w:color w:val="auto"/>
                <w:szCs w:val="21"/>
                <w:highlight w:val="none"/>
              </w:rPr>
              <w:t>符合第二章“投标人须知”第1.4.1项规定，具备有效的营业执照</w:t>
            </w:r>
            <w:r>
              <w:rPr>
                <w:rFonts w:hint="eastAsia" w:ascii="宋体" w:hAnsi="宋体" w:eastAsia="宋体"/>
                <w:color w:val="auto"/>
                <w:szCs w:val="21"/>
                <w:highlight w:val="none"/>
              </w:rPr>
              <w:t>。</w:t>
            </w:r>
          </w:p>
        </w:tc>
      </w:tr>
      <w:tr w14:paraId="52A461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top w:val="single" w:color="auto" w:sz="4" w:space="0"/>
              <w:bottom w:val="single" w:color="auto" w:sz="4" w:space="0"/>
              <w:right w:val="single" w:color="auto" w:sz="4" w:space="0"/>
            </w:tcBorders>
            <w:noWrap/>
            <w:vAlign w:val="center"/>
          </w:tcPr>
          <w:p w14:paraId="747403A2">
            <w:pPr>
              <w:spacing w:line="276" w:lineRule="auto"/>
              <w:rPr>
                <w:rFonts w:ascii="宋体" w:hAnsi="宋体" w:eastAsia="宋体"/>
                <w:color w:val="auto"/>
                <w:szCs w:val="21"/>
                <w:highlight w:val="none"/>
              </w:rPr>
            </w:pPr>
          </w:p>
        </w:tc>
        <w:tc>
          <w:tcPr>
            <w:tcW w:w="14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41F99AA">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5A766B75">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资质要求</w:t>
            </w:r>
          </w:p>
        </w:tc>
        <w:tc>
          <w:tcPr>
            <w:tcW w:w="6219" w:type="dxa"/>
            <w:tcBorders>
              <w:top w:val="single" w:color="auto" w:sz="4" w:space="0"/>
              <w:left w:val="single" w:color="auto" w:sz="4" w:space="0"/>
              <w:bottom w:val="single" w:color="auto" w:sz="4" w:space="0"/>
              <w:right w:val="single" w:color="auto" w:sz="4" w:space="0"/>
            </w:tcBorders>
            <w:noWrap/>
            <w:vAlign w:val="center"/>
          </w:tcPr>
          <w:p w14:paraId="11EA51CB">
            <w:pPr>
              <w:spacing w:line="276" w:lineRule="auto"/>
              <w:rPr>
                <w:rFonts w:ascii="宋体" w:hAnsi="宋体" w:eastAsia="宋体"/>
                <w:color w:val="auto"/>
                <w:szCs w:val="21"/>
                <w:highlight w:val="none"/>
              </w:rPr>
            </w:pPr>
            <w:r>
              <w:rPr>
                <w:rFonts w:ascii="宋体" w:hAnsi="宋体" w:eastAsia="宋体"/>
                <w:color w:val="auto"/>
                <w:szCs w:val="21"/>
                <w:highlight w:val="none"/>
              </w:rPr>
              <w:t>/</w:t>
            </w:r>
          </w:p>
        </w:tc>
      </w:tr>
      <w:tr w14:paraId="0FD6F4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top w:val="single" w:color="auto" w:sz="4" w:space="0"/>
              <w:bottom w:val="single" w:color="auto" w:sz="4" w:space="0"/>
              <w:right w:val="single" w:color="auto" w:sz="4" w:space="0"/>
            </w:tcBorders>
            <w:noWrap/>
            <w:vAlign w:val="center"/>
          </w:tcPr>
          <w:p w14:paraId="08879E09">
            <w:pPr>
              <w:spacing w:line="276" w:lineRule="auto"/>
              <w:rPr>
                <w:rFonts w:ascii="宋体" w:hAnsi="宋体" w:eastAsia="宋体"/>
                <w:color w:val="auto"/>
                <w:szCs w:val="21"/>
                <w:highlight w:val="none"/>
              </w:rPr>
            </w:pPr>
          </w:p>
        </w:tc>
        <w:tc>
          <w:tcPr>
            <w:tcW w:w="14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272C7A38">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102F3A5A">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财务要求</w:t>
            </w:r>
          </w:p>
        </w:tc>
        <w:tc>
          <w:tcPr>
            <w:tcW w:w="6219" w:type="dxa"/>
            <w:tcBorders>
              <w:top w:val="single" w:color="auto" w:sz="4" w:space="0"/>
              <w:left w:val="single" w:color="auto" w:sz="4" w:space="0"/>
              <w:bottom w:val="single" w:color="auto" w:sz="4" w:space="0"/>
              <w:right w:val="single" w:color="auto" w:sz="4" w:space="0"/>
            </w:tcBorders>
            <w:noWrap/>
            <w:vAlign w:val="center"/>
          </w:tcPr>
          <w:p w14:paraId="15784A47">
            <w:pPr>
              <w:spacing w:line="276" w:lineRule="auto"/>
              <w:jc w:val="left"/>
              <w:rPr>
                <w:rFonts w:ascii="宋体" w:hAnsi="宋体" w:eastAsia="宋体"/>
                <w:color w:val="auto"/>
                <w:szCs w:val="21"/>
                <w:highlight w:val="none"/>
              </w:rPr>
            </w:pPr>
            <w:r>
              <w:rPr>
                <w:rFonts w:ascii="宋体" w:hAnsi="宋体" w:eastAsia="宋体"/>
                <w:color w:val="auto"/>
                <w:szCs w:val="21"/>
                <w:highlight w:val="none"/>
              </w:rPr>
              <w:t>/</w:t>
            </w:r>
          </w:p>
        </w:tc>
      </w:tr>
      <w:tr w14:paraId="6B4E9A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top w:val="single" w:color="auto" w:sz="4" w:space="0"/>
              <w:bottom w:val="single" w:color="auto" w:sz="4" w:space="0"/>
              <w:right w:val="single" w:color="auto" w:sz="4" w:space="0"/>
            </w:tcBorders>
            <w:noWrap/>
            <w:vAlign w:val="center"/>
          </w:tcPr>
          <w:p w14:paraId="27830333">
            <w:pPr>
              <w:spacing w:line="276" w:lineRule="auto"/>
              <w:rPr>
                <w:rFonts w:ascii="宋体" w:hAnsi="宋体" w:eastAsia="宋体"/>
                <w:color w:val="auto"/>
                <w:szCs w:val="21"/>
                <w:highlight w:val="none"/>
              </w:rPr>
            </w:pPr>
          </w:p>
        </w:tc>
        <w:tc>
          <w:tcPr>
            <w:tcW w:w="14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25675461">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791ADC2D">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业绩要求</w:t>
            </w:r>
          </w:p>
        </w:tc>
        <w:tc>
          <w:tcPr>
            <w:tcW w:w="6219" w:type="dxa"/>
            <w:tcBorders>
              <w:top w:val="single" w:color="auto" w:sz="4" w:space="0"/>
              <w:left w:val="single" w:color="auto" w:sz="4" w:space="0"/>
              <w:bottom w:val="single" w:color="auto" w:sz="4" w:space="0"/>
              <w:right w:val="single" w:color="auto" w:sz="4" w:space="0"/>
            </w:tcBorders>
            <w:noWrap/>
            <w:vAlign w:val="center"/>
          </w:tcPr>
          <w:p w14:paraId="7231C4A5">
            <w:pPr>
              <w:spacing w:line="276" w:lineRule="auto"/>
              <w:jc w:val="left"/>
              <w:rPr>
                <w:rFonts w:ascii="宋体" w:hAnsi="宋体" w:eastAsia="宋体"/>
                <w:color w:val="auto"/>
                <w:szCs w:val="21"/>
                <w:highlight w:val="none"/>
              </w:rPr>
            </w:pPr>
            <w:r>
              <w:rPr>
                <w:rFonts w:ascii="宋体" w:hAnsi="宋体" w:eastAsia="宋体"/>
                <w:color w:val="auto"/>
                <w:szCs w:val="21"/>
                <w:highlight w:val="none"/>
              </w:rPr>
              <w:t>符合第二章“投标人须知”第1.4.1项规定</w:t>
            </w:r>
            <w:r>
              <w:rPr>
                <w:rFonts w:hint="eastAsia" w:ascii="宋体" w:hAnsi="宋体" w:eastAsia="宋体"/>
                <w:color w:val="auto"/>
                <w:szCs w:val="21"/>
                <w:highlight w:val="none"/>
              </w:rPr>
              <w:t>。</w:t>
            </w:r>
          </w:p>
        </w:tc>
      </w:tr>
      <w:tr w14:paraId="771A0F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top w:val="single" w:color="auto" w:sz="4" w:space="0"/>
              <w:bottom w:val="single" w:color="auto" w:sz="4" w:space="0"/>
              <w:right w:val="single" w:color="auto" w:sz="4" w:space="0"/>
            </w:tcBorders>
            <w:noWrap/>
            <w:vAlign w:val="center"/>
          </w:tcPr>
          <w:p w14:paraId="04EAE90A">
            <w:pPr>
              <w:spacing w:line="276" w:lineRule="auto"/>
              <w:rPr>
                <w:rFonts w:ascii="宋体" w:hAnsi="宋体" w:eastAsia="宋体"/>
                <w:color w:val="auto"/>
                <w:szCs w:val="21"/>
                <w:highlight w:val="none"/>
              </w:rPr>
            </w:pPr>
          </w:p>
        </w:tc>
        <w:tc>
          <w:tcPr>
            <w:tcW w:w="14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713C1462">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7C4FFAE4">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信誉要求</w:t>
            </w:r>
          </w:p>
        </w:tc>
        <w:tc>
          <w:tcPr>
            <w:tcW w:w="6219" w:type="dxa"/>
            <w:tcBorders>
              <w:top w:val="single" w:color="auto" w:sz="4" w:space="0"/>
              <w:left w:val="single" w:color="auto" w:sz="4" w:space="0"/>
              <w:bottom w:val="single" w:color="auto" w:sz="4" w:space="0"/>
              <w:right w:val="single" w:color="auto" w:sz="4" w:space="0"/>
            </w:tcBorders>
            <w:noWrap/>
            <w:vAlign w:val="center"/>
          </w:tcPr>
          <w:p w14:paraId="0FFDFFC1">
            <w:pPr>
              <w:spacing w:line="276" w:lineRule="auto"/>
              <w:jc w:val="left"/>
              <w:rPr>
                <w:rFonts w:ascii="宋体" w:hAnsi="宋体" w:eastAsia="宋体"/>
                <w:color w:val="auto"/>
                <w:szCs w:val="21"/>
                <w:highlight w:val="none"/>
              </w:rPr>
            </w:pPr>
            <w:r>
              <w:rPr>
                <w:rFonts w:ascii="宋体" w:hAnsi="宋体" w:eastAsia="宋体"/>
                <w:color w:val="auto"/>
                <w:szCs w:val="21"/>
                <w:highlight w:val="none"/>
              </w:rPr>
              <w:t>/</w:t>
            </w:r>
          </w:p>
        </w:tc>
      </w:tr>
      <w:tr w14:paraId="0EC720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Height w:val="325" w:hRule="atLeast"/>
        </w:trPr>
        <w:tc>
          <w:tcPr>
            <w:tcW w:w="794" w:type="dxa"/>
            <w:vMerge w:val="continue"/>
            <w:tcBorders>
              <w:top w:val="single" w:color="auto" w:sz="4" w:space="0"/>
              <w:bottom w:val="single" w:color="auto" w:sz="4" w:space="0"/>
              <w:right w:val="single" w:color="auto" w:sz="4" w:space="0"/>
            </w:tcBorders>
            <w:noWrap/>
            <w:vAlign w:val="center"/>
          </w:tcPr>
          <w:p w14:paraId="5B1C3C0E">
            <w:pPr>
              <w:spacing w:line="276" w:lineRule="auto"/>
              <w:rPr>
                <w:rFonts w:ascii="宋体" w:hAnsi="宋体" w:eastAsia="宋体"/>
                <w:color w:val="auto"/>
                <w:szCs w:val="21"/>
                <w:highlight w:val="none"/>
              </w:rPr>
            </w:pPr>
          </w:p>
        </w:tc>
        <w:tc>
          <w:tcPr>
            <w:tcW w:w="14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35164664">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768F35BE">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项目负责人</w:t>
            </w:r>
          </w:p>
        </w:tc>
        <w:tc>
          <w:tcPr>
            <w:tcW w:w="6219" w:type="dxa"/>
            <w:tcBorders>
              <w:top w:val="single" w:color="auto" w:sz="4" w:space="0"/>
              <w:left w:val="single" w:color="auto" w:sz="4" w:space="0"/>
              <w:bottom w:val="single" w:color="auto" w:sz="4" w:space="0"/>
              <w:right w:val="single" w:color="auto" w:sz="4" w:space="0"/>
            </w:tcBorders>
            <w:noWrap/>
            <w:vAlign w:val="center"/>
          </w:tcPr>
          <w:p w14:paraId="6AA74BD6">
            <w:pPr>
              <w:spacing w:line="276" w:lineRule="auto"/>
              <w:jc w:val="left"/>
              <w:rPr>
                <w:rFonts w:ascii="宋体" w:hAnsi="宋体" w:eastAsia="宋体"/>
                <w:color w:val="auto"/>
                <w:szCs w:val="21"/>
                <w:highlight w:val="none"/>
              </w:rPr>
            </w:pPr>
            <w:r>
              <w:rPr>
                <w:rFonts w:ascii="宋体" w:hAnsi="宋体" w:eastAsia="宋体"/>
                <w:color w:val="auto"/>
                <w:szCs w:val="21"/>
                <w:highlight w:val="none"/>
              </w:rPr>
              <w:t>/</w:t>
            </w:r>
          </w:p>
        </w:tc>
      </w:tr>
      <w:tr w14:paraId="04101F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Height w:val="325" w:hRule="atLeast"/>
        </w:trPr>
        <w:tc>
          <w:tcPr>
            <w:tcW w:w="794" w:type="dxa"/>
            <w:vMerge w:val="continue"/>
            <w:tcBorders>
              <w:top w:val="single" w:color="auto" w:sz="4" w:space="0"/>
              <w:bottom w:val="single" w:color="auto" w:sz="4" w:space="0"/>
              <w:right w:val="single" w:color="auto" w:sz="4" w:space="0"/>
            </w:tcBorders>
            <w:noWrap/>
            <w:vAlign w:val="center"/>
          </w:tcPr>
          <w:p w14:paraId="4C2930C7">
            <w:pPr>
              <w:spacing w:line="276" w:lineRule="auto"/>
              <w:rPr>
                <w:rFonts w:ascii="宋体" w:hAnsi="宋体" w:eastAsia="宋体"/>
                <w:color w:val="auto"/>
                <w:szCs w:val="21"/>
                <w:highlight w:val="none"/>
              </w:rPr>
            </w:pPr>
          </w:p>
        </w:tc>
        <w:tc>
          <w:tcPr>
            <w:tcW w:w="14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4D0218E">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2AFCFD0C">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其他主要人员</w:t>
            </w:r>
          </w:p>
        </w:tc>
        <w:tc>
          <w:tcPr>
            <w:tcW w:w="6219" w:type="dxa"/>
            <w:tcBorders>
              <w:top w:val="single" w:color="auto" w:sz="4" w:space="0"/>
              <w:left w:val="single" w:color="auto" w:sz="4" w:space="0"/>
              <w:bottom w:val="single" w:color="auto" w:sz="4" w:space="0"/>
              <w:right w:val="single" w:color="auto" w:sz="4" w:space="0"/>
            </w:tcBorders>
            <w:noWrap/>
            <w:vAlign w:val="center"/>
          </w:tcPr>
          <w:p w14:paraId="4F75FEE3">
            <w:pPr>
              <w:spacing w:line="276" w:lineRule="auto"/>
              <w:jc w:val="left"/>
              <w:rPr>
                <w:rFonts w:ascii="宋体" w:hAnsi="宋体" w:eastAsia="宋体"/>
                <w:color w:val="auto"/>
                <w:szCs w:val="21"/>
                <w:highlight w:val="none"/>
              </w:rPr>
            </w:pPr>
            <w:r>
              <w:rPr>
                <w:rFonts w:ascii="宋体" w:hAnsi="宋体" w:eastAsia="宋体"/>
                <w:color w:val="auto"/>
                <w:szCs w:val="21"/>
                <w:highlight w:val="none"/>
              </w:rPr>
              <w:t>/</w:t>
            </w:r>
          </w:p>
        </w:tc>
      </w:tr>
      <w:tr w14:paraId="15C9E3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Height w:val="325" w:hRule="atLeast"/>
        </w:trPr>
        <w:tc>
          <w:tcPr>
            <w:tcW w:w="794" w:type="dxa"/>
            <w:vMerge w:val="continue"/>
            <w:tcBorders>
              <w:top w:val="single" w:color="auto" w:sz="4" w:space="0"/>
              <w:bottom w:val="single" w:color="auto" w:sz="4" w:space="0"/>
              <w:right w:val="single" w:color="auto" w:sz="4" w:space="0"/>
            </w:tcBorders>
            <w:noWrap/>
            <w:vAlign w:val="center"/>
          </w:tcPr>
          <w:p w14:paraId="1A8EB763">
            <w:pPr>
              <w:spacing w:line="276" w:lineRule="auto"/>
              <w:rPr>
                <w:rFonts w:ascii="宋体" w:hAnsi="宋体" w:eastAsia="宋体"/>
                <w:color w:val="auto"/>
                <w:szCs w:val="21"/>
                <w:highlight w:val="none"/>
              </w:rPr>
            </w:pPr>
          </w:p>
        </w:tc>
        <w:tc>
          <w:tcPr>
            <w:tcW w:w="14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67A666B2">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57889568">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试验检测仪器设备</w:t>
            </w:r>
          </w:p>
        </w:tc>
        <w:tc>
          <w:tcPr>
            <w:tcW w:w="6219" w:type="dxa"/>
            <w:tcBorders>
              <w:top w:val="single" w:color="auto" w:sz="4" w:space="0"/>
              <w:left w:val="single" w:color="auto" w:sz="4" w:space="0"/>
              <w:bottom w:val="single" w:color="auto" w:sz="4" w:space="0"/>
              <w:right w:val="single" w:color="auto" w:sz="4" w:space="0"/>
            </w:tcBorders>
            <w:noWrap/>
            <w:vAlign w:val="center"/>
          </w:tcPr>
          <w:p w14:paraId="1D6B1E72">
            <w:pPr>
              <w:spacing w:line="276" w:lineRule="auto"/>
              <w:rPr>
                <w:rFonts w:ascii="宋体" w:hAnsi="宋体" w:eastAsia="宋体"/>
                <w:color w:val="auto"/>
                <w:szCs w:val="21"/>
                <w:highlight w:val="none"/>
              </w:rPr>
            </w:pPr>
            <w:r>
              <w:rPr>
                <w:rFonts w:ascii="宋体" w:hAnsi="宋体" w:eastAsia="宋体"/>
                <w:color w:val="auto"/>
                <w:szCs w:val="21"/>
                <w:highlight w:val="none"/>
              </w:rPr>
              <w:t>/</w:t>
            </w:r>
          </w:p>
        </w:tc>
      </w:tr>
      <w:tr w14:paraId="533E69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top w:val="single" w:color="auto" w:sz="4" w:space="0"/>
              <w:bottom w:val="single" w:color="auto" w:sz="4" w:space="0"/>
              <w:right w:val="single" w:color="auto" w:sz="4" w:space="0"/>
            </w:tcBorders>
            <w:noWrap/>
            <w:vAlign w:val="center"/>
          </w:tcPr>
          <w:p w14:paraId="6A932D77">
            <w:pPr>
              <w:spacing w:line="276" w:lineRule="auto"/>
              <w:rPr>
                <w:rFonts w:ascii="宋体" w:hAnsi="宋体" w:eastAsia="宋体"/>
                <w:color w:val="auto"/>
                <w:szCs w:val="21"/>
                <w:highlight w:val="none"/>
              </w:rPr>
            </w:pPr>
          </w:p>
        </w:tc>
        <w:tc>
          <w:tcPr>
            <w:tcW w:w="14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70D164D6">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774C723D">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其他要求</w:t>
            </w:r>
          </w:p>
        </w:tc>
        <w:tc>
          <w:tcPr>
            <w:tcW w:w="6219" w:type="dxa"/>
            <w:tcBorders>
              <w:top w:val="single" w:color="auto" w:sz="4" w:space="0"/>
              <w:left w:val="single" w:color="auto" w:sz="4" w:space="0"/>
              <w:bottom w:val="single" w:color="auto" w:sz="4" w:space="0"/>
              <w:right w:val="single" w:color="auto" w:sz="4" w:space="0"/>
            </w:tcBorders>
            <w:noWrap/>
            <w:vAlign w:val="center"/>
          </w:tcPr>
          <w:p w14:paraId="3D2A5941">
            <w:pPr>
              <w:spacing w:line="276" w:lineRule="auto"/>
              <w:rPr>
                <w:rFonts w:ascii="宋体" w:hAnsi="宋体" w:eastAsia="宋体"/>
                <w:color w:val="auto"/>
                <w:szCs w:val="21"/>
                <w:highlight w:val="none"/>
              </w:rPr>
            </w:pPr>
            <w:r>
              <w:rPr>
                <w:rFonts w:ascii="宋体" w:hAnsi="宋体" w:eastAsia="宋体"/>
                <w:color w:val="auto"/>
                <w:szCs w:val="21"/>
                <w:highlight w:val="none"/>
              </w:rPr>
              <w:t>符合第二章“投标人须知”第1.4.1项规定</w:t>
            </w:r>
            <w:r>
              <w:rPr>
                <w:rFonts w:hint="eastAsia" w:ascii="宋体" w:hAnsi="宋体" w:eastAsia="宋体"/>
                <w:color w:val="auto"/>
                <w:szCs w:val="21"/>
                <w:highlight w:val="none"/>
              </w:rPr>
              <w:t>。</w:t>
            </w:r>
          </w:p>
        </w:tc>
      </w:tr>
      <w:tr w14:paraId="3150A5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top w:val="single" w:color="auto" w:sz="4" w:space="0"/>
              <w:bottom w:val="single" w:color="auto" w:sz="4" w:space="0"/>
              <w:right w:val="single" w:color="auto" w:sz="4" w:space="0"/>
            </w:tcBorders>
            <w:noWrap/>
            <w:vAlign w:val="center"/>
          </w:tcPr>
          <w:p w14:paraId="5CAA9E94">
            <w:pPr>
              <w:spacing w:line="276" w:lineRule="auto"/>
              <w:rPr>
                <w:rFonts w:ascii="宋体" w:hAnsi="宋体" w:eastAsia="宋体"/>
                <w:color w:val="auto"/>
                <w:szCs w:val="21"/>
                <w:highlight w:val="none"/>
              </w:rPr>
            </w:pPr>
          </w:p>
        </w:tc>
        <w:tc>
          <w:tcPr>
            <w:tcW w:w="14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28B8B679">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35D2E085">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联合体投标人</w:t>
            </w:r>
          </w:p>
        </w:tc>
        <w:tc>
          <w:tcPr>
            <w:tcW w:w="6219" w:type="dxa"/>
            <w:tcBorders>
              <w:top w:val="single" w:color="auto" w:sz="4" w:space="0"/>
              <w:left w:val="single" w:color="auto" w:sz="4" w:space="0"/>
              <w:bottom w:val="single" w:color="auto" w:sz="4" w:space="0"/>
              <w:right w:val="single" w:color="auto" w:sz="4" w:space="0"/>
            </w:tcBorders>
            <w:noWrap/>
            <w:vAlign w:val="center"/>
          </w:tcPr>
          <w:p w14:paraId="3DF0383E">
            <w:pPr>
              <w:spacing w:line="276" w:lineRule="auto"/>
              <w:rPr>
                <w:rFonts w:ascii="宋体" w:hAnsi="宋体" w:eastAsia="宋体"/>
                <w:color w:val="auto"/>
                <w:szCs w:val="21"/>
                <w:highlight w:val="none"/>
              </w:rPr>
            </w:pPr>
            <w:r>
              <w:rPr>
                <w:rFonts w:ascii="宋体" w:hAnsi="宋体" w:eastAsia="宋体"/>
                <w:color w:val="auto"/>
                <w:szCs w:val="21"/>
                <w:highlight w:val="none"/>
              </w:rPr>
              <w:t>符合第二章“投标人须知”第1.4.2项规定</w:t>
            </w:r>
            <w:r>
              <w:rPr>
                <w:rFonts w:hint="eastAsia" w:ascii="宋体" w:hAnsi="宋体" w:eastAsia="宋体"/>
                <w:color w:val="auto"/>
                <w:szCs w:val="21"/>
                <w:highlight w:val="none"/>
              </w:rPr>
              <w:t>。</w:t>
            </w:r>
          </w:p>
        </w:tc>
      </w:tr>
      <w:tr w14:paraId="5F2F5C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top w:val="single" w:color="auto" w:sz="4" w:space="0"/>
              <w:bottom w:val="single" w:color="auto" w:sz="4" w:space="0"/>
              <w:right w:val="single" w:color="auto" w:sz="4" w:space="0"/>
            </w:tcBorders>
            <w:noWrap/>
            <w:vAlign w:val="center"/>
          </w:tcPr>
          <w:p w14:paraId="543BF963">
            <w:pPr>
              <w:spacing w:line="276" w:lineRule="auto"/>
              <w:rPr>
                <w:rFonts w:ascii="宋体" w:hAnsi="宋体" w:eastAsia="宋体"/>
                <w:color w:val="auto"/>
                <w:szCs w:val="21"/>
                <w:highlight w:val="none"/>
              </w:rPr>
            </w:pPr>
          </w:p>
        </w:tc>
        <w:tc>
          <w:tcPr>
            <w:tcW w:w="1417" w:type="dxa"/>
            <w:gridSpan w:val="2"/>
            <w:vMerge w:val="continue"/>
            <w:tcBorders>
              <w:top w:val="single" w:color="auto" w:sz="4" w:space="0"/>
              <w:left w:val="single" w:color="auto" w:sz="4" w:space="0"/>
              <w:bottom w:val="single" w:color="auto" w:sz="4" w:space="0"/>
              <w:right w:val="single" w:color="auto" w:sz="4" w:space="0"/>
            </w:tcBorders>
            <w:noWrap/>
            <w:vAlign w:val="center"/>
          </w:tcPr>
          <w:p w14:paraId="44A7BA74">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771297F3">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不存在禁止投标的情形</w:t>
            </w:r>
          </w:p>
        </w:tc>
        <w:tc>
          <w:tcPr>
            <w:tcW w:w="6219" w:type="dxa"/>
            <w:tcBorders>
              <w:top w:val="single" w:color="auto" w:sz="4" w:space="0"/>
              <w:left w:val="single" w:color="auto" w:sz="4" w:space="0"/>
              <w:bottom w:val="single" w:color="auto" w:sz="4" w:space="0"/>
              <w:right w:val="single" w:color="auto" w:sz="4" w:space="0"/>
            </w:tcBorders>
            <w:noWrap/>
            <w:vAlign w:val="center"/>
          </w:tcPr>
          <w:p w14:paraId="42F05520">
            <w:pPr>
              <w:spacing w:line="276" w:lineRule="auto"/>
              <w:rPr>
                <w:rFonts w:ascii="宋体" w:hAnsi="宋体" w:eastAsia="宋体"/>
                <w:color w:val="auto"/>
                <w:szCs w:val="21"/>
                <w:highlight w:val="none"/>
              </w:rPr>
            </w:pPr>
            <w:r>
              <w:rPr>
                <w:rFonts w:ascii="宋体" w:hAnsi="宋体" w:eastAsia="宋体"/>
                <w:color w:val="auto"/>
                <w:szCs w:val="21"/>
                <w:highlight w:val="none"/>
              </w:rPr>
              <w:t>不存在第二章“投标人须知”第1.4.3项规定的任何一种情形</w:t>
            </w:r>
            <w:r>
              <w:rPr>
                <w:rFonts w:hint="eastAsia" w:ascii="宋体" w:hAnsi="宋体" w:eastAsia="宋体"/>
                <w:color w:val="auto"/>
                <w:szCs w:val="21"/>
                <w:highlight w:val="none"/>
              </w:rPr>
              <w:t>。</w:t>
            </w:r>
          </w:p>
        </w:tc>
      </w:tr>
      <w:tr w14:paraId="308A5B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Height w:val="311" w:hRule="atLeast"/>
        </w:trPr>
        <w:tc>
          <w:tcPr>
            <w:tcW w:w="794" w:type="dxa"/>
            <w:vMerge w:val="restart"/>
            <w:tcBorders>
              <w:top w:val="single" w:color="auto" w:sz="4" w:space="0"/>
              <w:right w:val="single" w:color="auto" w:sz="4" w:space="0"/>
            </w:tcBorders>
            <w:noWrap/>
            <w:vAlign w:val="center"/>
          </w:tcPr>
          <w:p w14:paraId="59ECE25E">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2.1.3</w:t>
            </w:r>
          </w:p>
        </w:tc>
        <w:tc>
          <w:tcPr>
            <w:tcW w:w="1417" w:type="dxa"/>
            <w:gridSpan w:val="2"/>
            <w:vMerge w:val="restart"/>
            <w:tcBorders>
              <w:top w:val="single" w:color="auto" w:sz="4" w:space="0"/>
              <w:left w:val="single" w:color="auto" w:sz="4" w:space="0"/>
              <w:right w:val="single" w:color="auto" w:sz="4" w:space="0"/>
            </w:tcBorders>
            <w:noWrap/>
            <w:vAlign w:val="center"/>
          </w:tcPr>
          <w:p w14:paraId="78B3958E">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响应性评审标准</w:t>
            </w:r>
          </w:p>
        </w:tc>
        <w:tc>
          <w:tcPr>
            <w:tcW w:w="1568" w:type="dxa"/>
            <w:tcBorders>
              <w:top w:val="single" w:color="auto" w:sz="4" w:space="0"/>
              <w:left w:val="single" w:color="auto" w:sz="4" w:space="0"/>
              <w:right w:val="single" w:color="auto" w:sz="4" w:space="0"/>
            </w:tcBorders>
            <w:noWrap/>
            <w:vAlign w:val="center"/>
          </w:tcPr>
          <w:p w14:paraId="302FE509">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投标报价</w:t>
            </w:r>
          </w:p>
        </w:tc>
        <w:tc>
          <w:tcPr>
            <w:tcW w:w="6219" w:type="dxa"/>
            <w:tcBorders>
              <w:top w:val="single" w:color="auto" w:sz="4" w:space="0"/>
              <w:left w:val="single" w:color="auto" w:sz="4" w:space="0"/>
            </w:tcBorders>
            <w:noWrap/>
            <w:vAlign w:val="center"/>
          </w:tcPr>
          <w:p w14:paraId="18DB1774">
            <w:pPr>
              <w:spacing w:line="276" w:lineRule="auto"/>
              <w:rPr>
                <w:rFonts w:ascii="宋体" w:hAnsi="宋体" w:eastAsia="宋体"/>
                <w:color w:val="auto"/>
                <w:szCs w:val="21"/>
                <w:highlight w:val="none"/>
              </w:rPr>
            </w:pPr>
            <w:r>
              <w:rPr>
                <w:rFonts w:ascii="宋体" w:hAnsi="宋体" w:eastAsia="宋体"/>
                <w:color w:val="auto"/>
                <w:szCs w:val="21"/>
                <w:highlight w:val="none"/>
              </w:rPr>
              <w:t>符合第二章“投标人须知”第3.2款规定</w:t>
            </w:r>
            <w:r>
              <w:rPr>
                <w:rFonts w:hint="eastAsia" w:ascii="宋体" w:hAnsi="宋体" w:eastAsia="宋体"/>
                <w:color w:val="auto"/>
                <w:szCs w:val="21"/>
                <w:highlight w:val="none"/>
              </w:rPr>
              <w:t>进行投标报价的。</w:t>
            </w:r>
          </w:p>
          <w:p w14:paraId="5D4E8753">
            <w:pPr>
              <w:spacing w:line="276" w:lineRule="auto"/>
              <w:rPr>
                <w:rFonts w:ascii="宋体" w:hAnsi="宋体" w:eastAsia="宋体"/>
                <w:color w:val="auto"/>
                <w:szCs w:val="21"/>
                <w:highlight w:val="none"/>
                <w:u w:val="single"/>
              </w:rPr>
            </w:pPr>
            <w:r>
              <w:rPr>
                <w:rFonts w:hint="eastAsia" w:ascii="宋体" w:hAnsi="宋体" w:eastAsia="宋体"/>
                <w:color w:val="auto"/>
                <w:szCs w:val="21"/>
                <w:highlight w:val="none"/>
                <w:u w:val="single"/>
              </w:rPr>
              <w:t>（注：在评标过程中，评标委员会发现投标人的报价明显低于其他投标报价，使得其投标报价可能低于其企业成本的，应当要求该投标人作出书面说明并提供相关成本分析证明材料（包括但不限于人工成本、利润等）。投标人不能合理说明或者不能提供相关证明材料的，由评标委员会认定该投标人以低于成本报价竞标，否决其投标。）</w:t>
            </w:r>
          </w:p>
        </w:tc>
      </w:tr>
      <w:tr w14:paraId="61A755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Pr>
        <w:tc>
          <w:tcPr>
            <w:tcW w:w="794" w:type="dxa"/>
            <w:vMerge w:val="continue"/>
            <w:tcBorders>
              <w:right w:val="single" w:color="auto" w:sz="4" w:space="0"/>
            </w:tcBorders>
            <w:noWrap/>
            <w:vAlign w:val="center"/>
          </w:tcPr>
          <w:p w14:paraId="4430D8B1">
            <w:pPr>
              <w:spacing w:line="276" w:lineRule="auto"/>
              <w:jc w:val="center"/>
              <w:rPr>
                <w:rFonts w:ascii="宋体" w:hAnsi="宋体" w:eastAsia="宋体"/>
                <w:color w:val="auto"/>
                <w:szCs w:val="21"/>
                <w:highlight w:val="none"/>
              </w:rPr>
            </w:pPr>
          </w:p>
        </w:tc>
        <w:tc>
          <w:tcPr>
            <w:tcW w:w="1417" w:type="dxa"/>
            <w:gridSpan w:val="2"/>
            <w:vMerge w:val="continue"/>
            <w:tcBorders>
              <w:left w:val="single" w:color="auto" w:sz="4" w:space="0"/>
              <w:right w:val="single" w:color="auto" w:sz="4" w:space="0"/>
            </w:tcBorders>
            <w:noWrap/>
            <w:vAlign w:val="center"/>
          </w:tcPr>
          <w:p w14:paraId="13ECED20">
            <w:pPr>
              <w:spacing w:line="276" w:lineRule="auto"/>
              <w:jc w:val="center"/>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755AA23E">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投标内容</w:t>
            </w:r>
          </w:p>
        </w:tc>
        <w:tc>
          <w:tcPr>
            <w:tcW w:w="6219" w:type="dxa"/>
            <w:tcBorders>
              <w:top w:val="single" w:color="auto" w:sz="4" w:space="0"/>
              <w:left w:val="single" w:color="auto" w:sz="4" w:space="0"/>
              <w:bottom w:val="single" w:color="auto" w:sz="4" w:space="0"/>
            </w:tcBorders>
            <w:noWrap/>
            <w:vAlign w:val="center"/>
          </w:tcPr>
          <w:p w14:paraId="5FC9850A">
            <w:pPr>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符合第二章“投标人须知”第</w:t>
            </w:r>
            <w:r>
              <w:rPr>
                <w:rFonts w:ascii="宋体" w:hAnsi="宋体" w:eastAsia="宋体"/>
                <w:color w:val="auto"/>
                <w:szCs w:val="21"/>
                <w:highlight w:val="none"/>
              </w:rPr>
              <w:t>1.3.1项规定。</w:t>
            </w:r>
            <w:r>
              <w:rPr>
                <w:rFonts w:hint="eastAsia" w:ascii="宋体" w:hAnsi="宋体" w:eastAsia="宋体"/>
                <w:b/>
                <w:color w:val="auto"/>
                <w:szCs w:val="21"/>
                <w:highlight w:val="none"/>
                <w:u w:val="single"/>
              </w:rPr>
              <w:t>“如有★条款，则必须逐条响应。”</w:t>
            </w:r>
          </w:p>
        </w:tc>
      </w:tr>
      <w:tr w14:paraId="3F7530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Height w:val="340" w:hRule="atLeast"/>
        </w:trPr>
        <w:tc>
          <w:tcPr>
            <w:tcW w:w="794" w:type="dxa"/>
            <w:vMerge w:val="continue"/>
            <w:tcBorders>
              <w:right w:val="single" w:color="auto" w:sz="4" w:space="0"/>
            </w:tcBorders>
            <w:noWrap/>
            <w:vAlign w:val="center"/>
          </w:tcPr>
          <w:p w14:paraId="2E446C76">
            <w:pPr>
              <w:spacing w:line="276" w:lineRule="auto"/>
              <w:jc w:val="center"/>
              <w:rPr>
                <w:rFonts w:ascii="宋体" w:hAnsi="宋体" w:eastAsia="宋体"/>
                <w:color w:val="auto"/>
                <w:szCs w:val="21"/>
                <w:highlight w:val="none"/>
              </w:rPr>
            </w:pPr>
          </w:p>
        </w:tc>
        <w:tc>
          <w:tcPr>
            <w:tcW w:w="1417" w:type="dxa"/>
            <w:gridSpan w:val="2"/>
            <w:vMerge w:val="continue"/>
            <w:tcBorders>
              <w:left w:val="single" w:color="auto" w:sz="4" w:space="0"/>
              <w:right w:val="single" w:color="auto" w:sz="4" w:space="0"/>
            </w:tcBorders>
            <w:noWrap/>
            <w:vAlign w:val="center"/>
          </w:tcPr>
          <w:p w14:paraId="35709DF5">
            <w:pPr>
              <w:spacing w:line="276" w:lineRule="auto"/>
              <w:jc w:val="center"/>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5834A9EA">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服务期限</w:t>
            </w:r>
          </w:p>
        </w:tc>
        <w:tc>
          <w:tcPr>
            <w:tcW w:w="6219" w:type="dxa"/>
            <w:tcBorders>
              <w:top w:val="single" w:color="auto" w:sz="4" w:space="0"/>
              <w:left w:val="single" w:color="auto" w:sz="4" w:space="0"/>
              <w:bottom w:val="single" w:color="auto" w:sz="4" w:space="0"/>
            </w:tcBorders>
            <w:noWrap/>
            <w:vAlign w:val="center"/>
          </w:tcPr>
          <w:p w14:paraId="7FFD92D9">
            <w:pPr>
              <w:spacing w:line="276" w:lineRule="auto"/>
              <w:rPr>
                <w:rFonts w:ascii="宋体" w:hAnsi="宋体" w:eastAsia="宋体"/>
                <w:color w:val="auto"/>
                <w:szCs w:val="21"/>
                <w:highlight w:val="none"/>
              </w:rPr>
            </w:pPr>
            <w:r>
              <w:rPr>
                <w:rFonts w:ascii="宋体" w:hAnsi="宋体" w:eastAsia="宋体"/>
                <w:color w:val="auto"/>
                <w:szCs w:val="21"/>
                <w:highlight w:val="none"/>
              </w:rPr>
              <w:t>符合第二章“投标人须知”第1.3.2项规定</w:t>
            </w:r>
            <w:r>
              <w:rPr>
                <w:rFonts w:hint="eastAsia" w:ascii="宋体" w:hAnsi="宋体" w:eastAsia="宋体"/>
                <w:color w:val="auto"/>
                <w:szCs w:val="21"/>
                <w:highlight w:val="none"/>
              </w:rPr>
              <w:t>。</w:t>
            </w:r>
          </w:p>
        </w:tc>
      </w:tr>
      <w:tr w14:paraId="34B02D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Height w:val="340" w:hRule="atLeast"/>
        </w:trPr>
        <w:tc>
          <w:tcPr>
            <w:tcW w:w="794" w:type="dxa"/>
            <w:vMerge w:val="continue"/>
            <w:tcBorders>
              <w:right w:val="single" w:color="auto" w:sz="4" w:space="0"/>
            </w:tcBorders>
            <w:noWrap/>
            <w:vAlign w:val="center"/>
          </w:tcPr>
          <w:p w14:paraId="0F959927">
            <w:pPr>
              <w:spacing w:line="276" w:lineRule="auto"/>
              <w:jc w:val="center"/>
              <w:rPr>
                <w:rFonts w:ascii="宋体" w:hAnsi="宋体" w:eastAsia="宋体"/>
                <w:color w:val="auto"/>
                <w:szCs w:val="21"/>
                <w:highlight w:val="none"/>
              </w:rPr>
            </w:pPr>
          </w:p>
        </w:tc>
        <w:tc>
          <w:tcPr>
            <w:tcW w:w="1417" w:type="dxa"/>
            <w:gridSpan w:val="2"/>
            <w:vMerge w:val="continue"/>
            <w:tcBorders>
              <w:left w:val="single" w:color="auto" w:sz="4" w:space="0"/>
              <w:right w:val="single" w:color="auto" w:sz="4" w:space="0"/>
            </w:tcBorders>
            <w:noWrap/>
            <w:vAlign w:val="center"/>
          </w:tcPr>
          <w:p w14:paraId="6A7AFBC7">
            <w:pPr>
              <w:spacing w:line="276" w:lineRule="auto"/>
              <w:jc w:val="center"/>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0AE152BB">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质量标准</w:t>
            </w:r>
          </w:p>
        </w:tc>
        <w:tc>
          <w:tcPr>
            <w:tcW w:w="6219" w:type="dxa"/>
            <w:tcBorders>
              <w:top w:val="single" w:color="auto" w:sz="4" w:space="0"/>
              <w:left w:val="single" w:color="auto" w:sz="4" w:space="0"/>
              <w:bottom w:val="single" w:color="auto" w:sz="4" w:space="0"/>
            </w:tcBorders>
            <w:noWrap/>
            <w:vAlign w:val="center"/>
          </w:tcPr>
          <w:p w14:paraId="048964EB">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符合第二章“投标人须知”第</w:t>
            </w:r>
            <w:r>
              <w:rPr>
                <w:rFonts w:ascii="宋体" w:hAnsi="宋体" w:eastAsia="宋体"/>
                <w:color w:val="auto"/>
                <w:szCs w:val="21"/>
                <w:highlight w:val="none"/>
              </w:rPr>
              <w:t>1.3.3项规定。</w:t>
            </w:r>
          </w:p>
        </w:tc>
      </w:tr>
      <w:tr w14:paraId="1F383C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Height w:val="340" w:hRule="atLeast"/>
        </w:trPr>
        <w:tc>
          <w:tcPr>
            <w:tcW w:w="794" w:type="dxa"/>
            <w:vMerge w:val="continue"/>
            <w:tcBorders>
              <w:right w:val="single" w:color="auto" w:sz="4" w:space="0"/>
            </w:tcBorders>
            <w:noWrap/>
            <w:vAlign w:val="center"/>
          </w:tcPr>
          <w:p w14:paraId="0308F5BB">
            <w:pPr>
              <w:spacing w:line="276" w:lineRule="auto"/>
              <w:rPr>
                <w:rFonts w:ascii="宋体" w:hAnsi="宋体" w:eastAsia="宋体"/>
                <w:color w:val="auto"/>
                <w:szCs w:val="21"/>
                <w:highlight w:val="none"/>
              </w:rPr>
            </w:pPr>
          </w:p>
        </w:tc>
        <w:tc>
          <w:tcPr>
            <w:tcW w:w="1417" w:type="dxa"/>
            <w:gridSpan w:val="2"/>
            <w:vMerge w:val="continue"/>
            <w:tcBorders>
              <w:left w:val="single" w:color="auto" w:sz="4" w:space="0"/>
              <w:right w:val="single" w:color="auto" w:sz="4" w:space="0"/>
            </w:tcBorders>
            <w:noWrap/>
            <w:vAlign w:val="center"/>
          </w:tcPr>
          <w:p w14:paraId="7FEC012C">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1310BAC9">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投标有效期</w:t>
            </w:r>
          </w:p>
        </w:tc>
        <w:tc>
          <w:tcPr>
            <w:tcW w:w="6219" w:type="dxa"/>
            <w:tcBorders>
              <w:top w:val="single" w:color="auto" w:sz="4" w:space="0"/>
              <w:left w:val="single" w:color="auto" w:sz="4" w:space="0"/>
              <w:bottom w:val="single" w:color="auto" w:sz="4" w:space="0"/>
            </w:tcBorders>
            <w:noWrap/>
            <w:vAlign w:val="center"/>
          </w:tcPr>
          <w:p w14:paraId="53C40CC2">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符合第二章“投标人须知”第</w:t>
            </w:r>
            <w:r>
              <w:rPr>
                <w:rFonts w:ascii="宋体" w:hAnsi="宋体" w:eastAsia="宋体"/>
                <w:color w:val="auto"/>
                <w:szCs w:val="21"/>
                <w:highlight w:val="none"/>
              </w:rPr>
              <w:t>3.3.1项规定。</w:t>
            </w:r>
          </w:p>
        </w:tc>
      </w:tr>
      <w:tr w14:paraId="615FA4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cantSplit/>
          <w:trHeight w:val="354" w:hRule="atLeast"/>
        </w:trPr>
        <w:tc>
          <w:tcPr>
            <w:tcW w:w="794" w:type="dxa"/>
            <w:vMerge w:val="continue"/>
            <w:tcBorders>
              <w:right w:val="single" w:color="auto" w:sz="4" w:space="0"/>
            </w:tcBorders>
            <w:noWrap/>
            <w:vAlign w:val="center"/>
          </w:tcPr>
          <w:p w14:paraId="21BE805A">
            <w:pPr>
              <w:spacing w:line="276" w:lineRule="auto"/>
              <w:rPr>
                <w:rFonts w:ascii="宋体" w:hAnsi="宋体" w:eastAsia="宋体"/>
                <w:color w:val="auto"/>
                <w:szCs w:val="21"/>
                <w:highlight w:val="none"/>
              </w:rPr>
            </w:pPr>
          </w:p>
        </w:tc>
        <w:tc>
          <w:tcPr>
            <w:tcW w:w="1417" w:type="dxa"/>
            <w:gridSpan w:val="2"/>
            <w:vMerge w:val="continue"/>
            <w:tcBorders>
              <w:left w:val="single" w:color="auto" w:sz="4" w:space="0"/>
              <w:right w:val="single" w:color="auto" w:sz="4" w:space="0"/>
            </w:tcBorders>
            <w:noWrap/>
            <w:vAlign w:val="center"/>
          </w:tcPr>
          <w:p w14:paraId="43F3BB92">
            <w:pPr>
              <w:spacing w:line="276" w:lineRule="auto"/>
              <w:rPr>
                <w:rFonts w:ascii="宋体" w:hAnsi="宋体" w:eastAsia="宋体"/>
                <w:color w:val="auto"/>
                <w:szCs w:val="21"/>
                <w:highlight w:val="none"/>
              </w:rPr>
            </w:pPr>
          </w:p>
        </w:tc>
        <w:tc>
          <w:tcPr>
            <w:tcW w:w="1568" w:type="dxa"/>
            <w:tcBorders>
              <w:top w:val="single" w:color="auto" w:sz="4" w:space="0"/>
              <w:left w:val="single" w:color="auto" w:sz="4" w:space="0"/>
              <w:bottom w:val="single" w:color="auto" w:sz="4" w:space="0"/>
              <w:right w:val="single" w:color="auto" w:sz="4" w:space="0"/>
            </w:tcBorders>
            <w:noWrap/>
            <w:vAlign w:val="center"/>
          </w:tcPr>
          <w:p w14:paraId="5401894D">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串通投标情形</w:t>
            </w:r>
          </w:p>
        </w:tc>
        <w:tc>
          <w:tcPr>
            <w:tcW w:w="6219" w:type="dxa"/>
            <w:tcBorders>
              <w:top w:val="single" w:color="auto" w:sz="4" w:space="0"/>
              <w:left w:val="single" w:color="auto" w:sz="4" w:space="0"/>
              <w:bottom w:val="single" w:color="auto" w:sz="4" w:space="0"/>
            </w:tcBorders>
            <w:noWrap/>
            <w:vAlign w:val="top"/>
          </w:tcPr>
          <w:p w14:paraId="09EDDB05">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不存在串通投标情形：</w:t>
            </w:r>
          </w:p>
          <w:p w14:paraId="302832C5">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（一）不同投标人的投标文件由同一单位或者个人编制；</w:t>
            </w:r>
          </w:p>
          <w:p w14:paraId="4AF6D0E1">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（二）不同投标人委托同一单位或者个人办理投标事宜；</w:t>
            </w:r>
          </w:p>
          <w:p w14:paraId="1E40481D">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（三）不同投标人的投标文件载明的项目管理成员为同一人；</w:t>
            </w:r>
          </w:p>
          <w:p w14:paraId="561CC0AD">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（四）不同投标人的投标文件异常一致或者投标报价呈规律性差异；</w:t>
            </w:r>
          </w:p>
          <w:p w14:paraId="3EFB5D83">
            <w:pPr>
              <w:spacing w:line="276" w:lineRule="auto"/>
              <w:rPr>
                <w:rFonts w:ascii="宋体" w:hAnsi="宋体" w:eastAsia="宋体"/>
                <w:color w:val="auto"/>
                <w:szCs w:val="21"/>
                <w:highlight w:val="none"/>
              </w:rPr>
            </w:pPr>
            <w:r>
              <w:rPr>
                <w:rFonts w:hint="eastAsia" w:ascii="宋体" w:hAnsi="宋体" w:eastAsia="宋体"/>
                <w:color w:val="auto"/>
                <w:szCs w:val="21"/>
                <w:highlight w:val="none"/>
              </w:rPr>
              <w:t>（五）不同投标人的投标文件相互混装。</w:t>
            </w:r>
          </w:p>
        </w:tc>
      </w:tr>
      <w:tr w14:paraId="0172F9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526" w:hRule="atLeast"/>
        </w:trPr>
        <w:tc>
          <w:tcPr>
            <w:tcW w:w="2211" w:type="dxa"/>
            <w:gridSpan w:val="3"/>
            <w:tcBorders>
              <w:top w:val="single" w:color="auto" w:sz="4" w:space="0"/>
              <w:bottom w:val="single" w:color="auto" w:sz="4" w:space="0"/>
              <w:right w:val="single" w:color="auto" w:sz="4" w:space="0"/>
            </w:tcBorders>
            <w:noWrap/>
            <w:vAlign w:val="center"/>
          </w:tcPr>
          <w:p w14:paraId="3B21394E">
            <w:pPr>
              <w:spacing w:line="276" w:lineRule="auto"/>
              <w:jc w:val="center"/>
              <w:rPr>
                <w:rFonts w:ascii="宋体" w:hAnsi="宋体" w:eastAsia="宋体"/>
                <w:b/>
                <w:color w:val="auto"/>
                <w:szCs w:val="21"/>
                <w:highlight w:val="none"/>
              </w:rPr>
            </w:pPr>
            <w:r>
              <w:rPr>
                <w:rFonts w:ascii="宋体" w:hAnsi="宋体" w:eastAsia="宋体"/>
                <w:b/>
                <w:color w:val="auto"/>
                <w:szCs w:val="21"/>
                <w:highlight w:val="none"/>
              </w:rPr>
              <w:t>条款号</w:t>
            </w:r>
          </w:p>
        </w:tc>
        <w:tc>
          <w:tcPr>
            <w:tcW w:w="1568" w:type="dxa"/>
            <w:tcBorders>
              <w:top w:val="single" w:color="auto" w:sz="4" w:space="0"/>
              <w:left w:val="single" w:color="auto" w:sz="4" w:space="0"/>
              <w:bottom w:val="single" w:color="auto" w:sz="4" w:space="0"/>
              <w:right w:val="single" w:color="auto" w:sz="4" w:space="0"/>
            </w:tcBorders>
            <w:noWrap/>
            <w:vAlign w:val="center"/>
          </w:tcPr>
          <w:p w14:paraId="3E0C809E">
            <w:pPr>
              <w:spacing w:line="276" w:lineRule="auto"/>
              <w:jc w:val="center"/>
              <w:rPr>
                <w:rFonts w:ascii="宋体" w:hAnsi="宋体" w:eastAsia="宋体"/>
                <w:b/>
                <w:color w:val="auto"/>
                <w:szCs w:val="21"/>
                <w:highlight w:val="none"/>
              </w:rPr>
            </w:pPr>
            <w:r>
              <w:rPr>
                <w:rFonts w:ascii="宋体" w:hAnsi="宋体" w:eastAsia="宋体"/>
                <w:b/>
                <w:color w:val="auto"/>
                <w:szCs w:val="21"/>
                <w:highlight w:val="none"/>
              </w:rPr>
              <w:t>条款内容</w:t>
            </w:r>
          </w:p>
        </w:tc>
        <w:tc>
          <w:tcPr>
            <w:tcW w:w="6219" w:type="dxa"/>
            <w:tcBorders>
              <w:top w:val="single" w:color="auto" w:sz="4" w:space="0"/>
              <w:left w:val="single" w:color="auto" w:sz="4" w:space="0"/>
              <w:bottom w:val="single" w:color="auto" w:sz="4" w:space="0"/>
              <w:right w:val="single" w:color="auto" w:sz="4" w:space="0"/>
            </w:tcBorders>
            <w:noWrap/>
            <w:vAlign w:val="center"/>
          </w:tcPr>
          <w:p w14:paraId="01047265">
            <w:pPr>
              <w:spacing w:line="276" w:lineRule="auto"/>
              <w:jc w:val="center"/>
              <w:rPr>
                <w:rFonts w:ascii="宋体" w:hAnsi="宋体" w:eastAsia="宋体"/>
                <w:b/>
                <w:color w:val="auto"/>
                <w:szCs w:val="21"/>
                <w:highlight w:val="none"/>
              </w:rPr>
            </w:pPr>
            <w:r>
              <w:rPr>
                <w:rFonts w:ascii="宋体" w:hAnsi="宋体" w:eastAsia="宋体"/>
                <w:b/>
                <w:color w:val="auto"/>
                <w:szCs w:val="21"/>
                <w:highlight w:val="none"/>
              </w:rPr>
              <w:t>编列内容</w:t>
            </w:r>
          </w:p>
        </w:tc>
      </w:tr>
      <w:tr w14:paraId="28B2B7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58" w:hRule="atLeast"/>
        </w:trPr>
        <w:tc>
          <w:tcPr>
            <w:tcW w:w="2211" w:type="dxa"/>
            <w:gridSpan w:val="3"/>
            <w:tcBorders>
              <w:bottom w:val="single" w:color="auto" w:sz="4" w:space="0"/>
              <w:right w:val="single" w:color="auto" w:sz="4" w:space="0"/>
            </w:tcBorders>
            <w:noWrap/>
            <w:vAlign w:val="center"/>
          </w:tcPr>
          <w:p w14:paraId="18031905">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2.2.1</w:t>
            </w:r>
          </w:p>
        </w:tc>
        <w:tc>
          <w:tcPr>
            <w:tcW w:w="1568" w:type="dxa"/>
            <w:tcBorders>
              <w:top w:val="single" w:color="auto" w:sz="4" w:space="0"/>
              <w:left w:val="single" w:color="auto" w:sz="4" w:space="0"/>
              <w:bottom w:val="single" w:color="auto" w:sz="4" w:space="0"/>
              <w:right w:val="single" w:color="auto" w:sz="4" w:space="0"/>
            </w:tcBorders>
            <w:noWrap/>
            <w:vAlign w:val="center"/>
          </w:tcPr>
          <w:p w14:paraId="1EDA0B16">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分值构成</w:t>
            </w:r>
          </w:p>
          <w:p w14:paraId="46DBEABC">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(总分100分)</w:t>
            </w:r>
          </w:p>
        </w:tc>
        <w:tc>
          <w:tcPr>
            <w:tcW w:w="6219" w:type="dxa"/>
            <w:tcBorders>
              <w:top w:val="single" w:color="auto" w:sz="4" w:space="0"/>
              <w:left w:val="single" w:color="auto" w:sz="4" w:space="0"/>
              <w:bottom w:val="single" w:color="auto" w:sz="4" w:space="0"/>
              <w:right w:val="single" w:color="auto" w:sz="4" w:space="0"/>
            </w:tcBorders>
            <w:noWrap/>
            <w:vAlign w:val="center"/>
          </w:tcPr>
          <w:p w14:paraId="07DEBF9C">
            <w:pPr>
              <w:spacing w:line="276" w:lineRule="auto"/>
              <w:rPr>
                <w:rFonts w:ascii="宋体" w:hAnsi="宋体" w:eastAsia="宋体"/>
                <w:color w:val="auto"/>
                <w:szCs w:val="21"/>
                <w:highlight w:val="none"/>
              </w:rPr>
            </w:pPr>
            <w:r>
              <w:rPr>
                <w:rFonts w:ascii="宋体" w:hAnsi="宋体" w:eastAsia="宋体"/>
                <w:color w:val="auto"/>
                <w:szCs w:val="21"/>
                <w:highlight w:val="none"/>
              </w:rPr>
              <w:t>1.</w:t>
            </w:r>
            <w:r>
              <w:rPr>
                <w:rFonts w:hint="eastAsia" w:ascii="宋体" w:hAnsi="宋体" w:eastAsia="宋体"/>
                <w:color w:val="auto"/>
                <w:szCs w:val="21"/>
                <w:highlight w:val="none"/>
              </w:rPr>
              <w:t>商务技术部分：</w:t>
            </w:r>
            <w:r>
              <w:rPr>
                <w:rFonts w:hint="eastAsia" w:ascii="宋体" w:hAnsi="宋体" w:eastAsia="宋体"/>
                <w:b/>
                <w:color w:val="auto"/>
                <w:szCs w:val="21"/>
                <w:highlight w:val="none"/>
                <w:u w:val="single"/>
              </w:rPr>
              <w:t>60</w:t>
            </w:r>
            <w:r>
              <w:rPr>
                <w:rFonts w:hint="eastAsia" w:ascii="宋体" w:hAnsi="宋体" w:eastAsia="宋体"/>
                <w:color w:val="auto"/>
                <w:szCs w:val="21"/>
                <w:highlight w:val="none"/>
              </w:rPr>
              <w:t>分</w:t>
            </w:r>
          </w:p>
          <w:p w14:paraId="7BE5A3FA">
            <w:pPr>
              <w:spacing w:line="276" w:lineRule="auto"/>
              <w:rPr>
                <w:rFonts w:ascii="宋体" w:hAnsi="宋体" w:eastAsia="宋体"/>
                <w:color w:val="auto"/>
                <w:szCs w:val="21"/>
                <w:highlight w:val="none"/>
              </w:rPr>
            </w:pPr>
            <w:r>
              <w:rPr>
                <w:rFonts w:ascii="宋体" w:hAnsi="宋体" w:eastAsia="宋体"/>
                <w:color w:val="auto"/>
                <w:szCs w:val="21"/>
                <w:highlight w:val="none"/>
              </w:rPr>
              <w:t>2.</w:t>
            </w:r>
            <w:r>
              <w:rPr>
                <w:rFonts w:hint="eastAsia" w:ascii="宋体" w:hAnsi="宋体" w:eastAsia="宋体"/>
                <w:color w:val="auto"/>
                <w:szCs w:val="21"/>
                <w:highlight w:val="none"/>
              </w:rPr>
              <w:t>投标报价：</w:t>
            </w:r>
            <w:r>
              <w:rPr>
                <w:rFonts w:hint="eastAsia" w:ascii="宋体" w:hAnsi="宋体" w:eastAsia="宋体"/>
                <w:b/>
                <w:color w:val="auto"/>
                <w:szCs w:val="21"/>
                <w:highlight w:val="none"/>
                <w:u w:val="single"/>
              </w:rPr>
              <w:t>40</w:t>
            </w:r>
            <w:r>
              <w:rPr>
                <w:rFonts w:hint="eastAsia" w:ascii="宋体" w:hAnsi="宋体" w:eastAsia="宋体"/>
                <w:color w:val="auto"/>
                <w:szCs w:val="21"/>
                <w:highlight w:val="none"/>
              </w:rPr>
              <w:t>分</w:t>
            </w:r>
          </w:p>
          <w:p w14:paraId="070DC8BC">
            <w:pPr>
              <w:spacing w:line="276" w:lineRule="auto"/>
              <w:rPr>
                <w:rFonts w:ascii="宋体" w:hAnsi="宋体" w:eastAsia="宋体"/>
                <w:b/>
                <w:color w:val="auto"/>
                <w:szCs w:val="21"/>
                <w:highlight w:val="none"/>
                <w:u w:val="single"/>
              </w:rPr>
            </w:pPr>
            <w:r>
              <w:rPr>
                <w:rFonts w:hint="eastAsia" w:ascii="宋体" w:hAnsi="宋体" w:eastAsia="宋体"/>
                <w:b/>
                <w:color w:val="auto"/>
                <w:szCs w:val="21"/>
                <w:highlight w:val="none"/>
                <w:u w:val="single"/>
              </w:rPr>
              <w:t>投标人综合得分</w:t>
            </w:r>
            <w:r>
              <w:rPr>
                <w:rFonts w:ascii="宋体" w:hAnsi="宋体" w:eastAsia="宋体"/>
                <w:b/>
                <w:color w:val="auto"/>
                <w:szCs w:val="21"/>
                <w:highlight w:val="none"/>
                <w:u w:val="single"/>
              </w:rPr>
              <w:t>=【商务技术</w:t>
            </w:r>
            <w:r>
              <w:rPr>
                <w:rFonts w:hint="eastAsia" w:ascii="宋体" w:hAnsi="宋体" w:eastAsia="宋体"/>
                <w:b/>
                <w:color w:val="auto"/>
                <w:szCs w:val="21"/>
                <w:highlight w:val="none"/>
                <w:u w:val="single"/>
              </w:rPr>
              <w:t>得分</w:t>
            </w:r>
            <w:r>
              <w:rPr>
                <w:rFonts w:ascii="宋体" w:hAnsi="宋体" w:eastAsia="宋体"/>
                <w:b/>
                <w:color w:val="auto"/>
                <w:szCs w:val="21"/>
                <w:highlight w:val="none"/>
                <w:u w:val="single"/>
              </w:rPr>
              <w:t>＋</w:t>
            </w:r>
            <w:r>
              <w:rPr>
                <w:rFonts w:hint="eastAsia" w:ascii="宋体" w:hAnsi="宋体" w:eastAsia="宋体"/>
                <w:b/>
                <w:color w:val="auto"/>
                <w:szCs w:val="21"/>
                <w:highlight w:val="none"/>
                <w:u w:val="single"/>
              </w:rPr>
              <w:t>投标报价得</w:t>
            </w:r>
            <w:r>
              <w:rPr>
                <w:rFonts w:ascii="宋体" w:hAnsi="宋体" w:eastAsia="宋体"/>
                <w:b/>
                <w:color w:val="auto"/>
                <w:szCs w:val="21"/>
                <w:highlight w:val="none"/>
                <w:u w:val="single"/>
              </w:rPr>
              <w:t>分】</w:t>
            </w:r>
          </w:p>
        </w:tc>
      </w:tr>
      <w:tr w14:paraId="5F9D82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Pr>
        <w:tc>
          <w:tcPr>
            <w:tcW w:w="2211" w:type="dxa"/>
            <w:gridSpan w:val="3"/>
            <w:tcBorders>
              <w:top w:val="single" w:color="auto" w:sz="4" w:space="0"/>
              <w:bottom w:val="single" w:color="auto" w:sz="4" w:space="0"/>
              <w:right w:val="single" w:color="auto" w:sz="4" w:space="0"/>
            </w:tcBorders>
            <w:noWrap/>
            <w:vAlign w:val="center"/>
          </w:tcPr>
          <w:p w14:paraId="09167726">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2.2.2</w:t>
            </w:r>
          </w:p>
        </w:tc>
        <w:tc>
          <w:tcPr>
            <w:tcW w:w="1568" w:type="dxa"/>
            <w:tcBorders>
              <w:top w:val="single" w:color="auto" w:sz="4" w:space="0"/>
              <w:left w:val="single" w:color="auto" w:sz="4" w:space="0"/>
              <w:bottom w:val="single" w:color="auto" w:sz="4" w:space="0"/>
              <w:right w:val="single" w:color="auto" w:sz="4" w:space="0"/>
            </w:tcBorders>
            <w:noWrap/>
            <w:vAlign w:val="center"/>
          </w:tcPr>
          <w:p w14:paraId="2CC31FEC">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评标基准价计算方法</w:t>
            </w:r>
          </w:p>
        </w:tc>
        <w:tc>
          <w:tcPr>
            <w:tcW w:w="6219" w:type="dxa"/>
            <w:tcBorders>
              <w:top w:val="single" w:color="auto" w:sz="4" w:space="0"/>
              <w:left w:val="single" w:color="auto" w:sz="4" w:space="0"/>
              <w:bottom w:val="single" w:color="auto" w:sz="4" w:space="0"/>
              <w:right w:val="single" w:color="auto" w:sz="4" w:space="0"/>
            </w:tcBorders>
            <w:noWrap/>
            <w:vAlign w:val="center"/>
          </w:tcPr>
          <w:p w14:paraId="72C52410">
            <w:pPr>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详见综合评分表。</w:t>
            </w:r>
          </w:p>
        </w:tc>
      </w:tr>
      <w:tr w14:paraId="3B3267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902" w:hRule="atLeast"/>
        </w:trPr>
        <w:tc>
          <w:tcPr>
            <w:tcW w:w="2211" w:type="dxa"/>
            <w:gridSpan w:val="3"/>
            <w:tcBorders>
              <w:top w:val="single" w:color="auto" w:sz="4" w:space="0"/>
              <w:bottom w:val="single" w:color="auto" w:sz="4" w:space="0"/>
              <w:right w:val="single" w:color="auto" w:sz="4" w:space="0"/>
            </w:tcBorders>
            <w:noWrap/>
            <w:vAlign w:val="center"/>
          </w:tcPr>
          <w:p w14:paraId="3EF6F905">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2.2.3</w:t>
            </w:r>
          </w:p>
        </w:tc>
        <w:tc>
          <w:tcPr>
            <w:tcW w:w="1568" w:type="dxa"/>
            <w:tcBorders>
              <w:top w:val="single" w:color="auto" w:sz="4" w:space="0"/>
              <w:left w:val="single" w:color="auto" w:sz="4" w:space="0"/>
              <w:bottom w:val="single" w:color="auto" w:sz="4" w:space="0"/>
              <w:right w:val="single" w:color="auto" w:sz="4" w:space="0"/>
            </w:tcBorders>
            <w:noWrap/>
            <w:vAlign w:val="center"/>
          </w:tcPr>
          <w:p w14:paraId="2D0603EC">
            <w:pPr>
              <w:spacing w:line="276" w:lineRule="auto"/>
              <w:jc w:val="center"/>
              <w:rPr>
                <w:rFonts w:ascii="宋体" w:hAnsi="宋体" w:eastAsia="宋体"/>
                <w:color w:val="auto"/>
                <w:szCs w:val="21"/>
                <w:highlight w:val="none"/>
              </w:rPr>
            </w:pPr>
            <w:r>
              <w:rPr>
                <w:rFonts w:ascii="宋体" w:hAnsi="宋体" w:eastAsia="宋体"/>
                <w:color w:val="auto"/>
                <w:szCs w:val="21"/>
                <w:highlight w:val="none"/>
              </w:rPr>
              <w:t>投标报价的偏差率计算公式</w:t>
            </w:r>
          </w:p>
        </w:tc>
        <w:tc>
          <w:tcPr>
            <w:tcW w:w="6219" w:type="dxa"/>
            <w:tcBorders>
              <w:top w:val="single" w:color="auto" w:sz="4" w:space="0"/>
              <w:left w:val="single" w:color="auto" w:sz="4" w:space="0"/>
              <w:bottom w:val="single" w:color="auto" w:sz="4" w:space="0"/>
              <w:right w:val="single" w:color="auto" w:sz="4" w:space="0"/>
            </w:tcBorders>
            <w:noWrap/>
            <w:vAlign w:val="center"/>
          </w:tcPr>
          <w:p w14:paraId="205A36B1">
            <w:pPr>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详见综合评分表。</w:t>
            </w:r>
          </w:p>
        </w:tc>
      </w:tr>
      <w:tr w14:paraId="7F14A8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487" w:hRule="atLeast"/>
        </w:trPr>
        <w:tc>
          <w:tcPr>
            <w:tcW w:w="2211" w:type="dxa"/>
            <w:gridSpan w:val="3"/>
            <w:tcBorders>
              <w:top w:val="single" w:color="auto" w:sz="4" w:space="0"/>
              <w:bottom w:val="single" w:color="auto" w:sz="4" w:space="0"/>
              <w:right w:val="single" w:color="auto" w:sz="4" w:space="0"/>
            </w:tcBorders>
            <w:noWrap/>
            <w:vAlign w:val="center"/>
          </w:tcPr>
          <w:p w14:paraId="7EBA1A51">
            <w:pPr>
              <w:widowControl/>
              <w:spacing w:line="276" w:lineRule="auto"/>
              <w:jc w:val="center"/>
              <w:rPr>
                <w:rFonts w:ascii="宋体" w:hAnsi="宋体" w:eastAsia="宋体"/>
                <w:b/>
                <w:color w:val="auto"/>
                <w:szCs w:val="21"/>
                <w:highlight w:val="none"/>
              </w:rPr>
            </w:pPr>
            <w:r>
              <w:rPr>
                <w:rFonts w:hint="eastAsia" w:ascii="宋体" w:hAnsi="宋体" w:eastAsia="宋体"/>
                <w:b/>
                <w:color w:val="auto"/>
                <w:szCs w:val="21"/>
                <w:highlight w:val="none"/>
              </w:rPr>
              <w:t>条款号</w:t>
            </w:r>
          </w:p>
        </w:tc>
        <w:tc>
          <w:tcPr>
            <w:tcW w:w="1568" w:type="dxa"/>
            <w:tcBorders>
              <w:top w:val="single" w:color="auto" w:sz="4" w:space="0"/>
              <w:left w:val="single" w:color="auto" w:sz="4" w:space="0"/>
              <w:bottom w:val="single" w:color="auto" w:sz="4" w:space="0"/>
              <w:right w:val="single" w:color="auto" w:sz="4" w:space="0"/>
            </w:tcBorders>
            <w:noWrap/>
            <w:vAlign w:val="center"/>
          </w:tcPr>
          <w:p w14:paraId="0CF7CD8B">
            <w:pPr>
              <w:widowControl/>
              <w:spacing w:line="276"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评分因素（偏差率）</w:t>
            </w:r>
          </w:p>
        </w:tc>
        <w:tc>
          <w:tcPr>
            <w:tcW w:w="6219" w:type="dxa"/>
            <w:tcBorders>
              <w:top w:val="single" w:color="auto" w:sz="4" w:space="0"/>
              <w:left w:val="single" w:color="auto" w:sz="4" w:space="0"/>
              <w:bottom w:val="single" w:color="auto" w:sz="4" w:space="0"/>
              <w:right w:val="single" w:color="auto" w:sz="4" w:space="0"/>
            </w:tcBorders>
            <w:noWrap/>
            <w:vAlign w:val="center"/>
          </w:tcPr>
          <w:p w14:paraId="699254D3">
            <w:pPr>
              <w:widowControl/>
              <w:spacing w:line="276" w:lineRule="auto"/>
              <w:jc w:val="center"/>
              <w:rPr>
                <w:rFonts w:ascii="宋体" w:hAnsi="宋体" w:eastAsia="宋体"/>
                <w:b/>
                <w:color w:val="auto"/>
                <w:szCs w:val="21"/>
                <w:highlight w:val="none"/>
              </w:rPr>
            </w:pPr>
            <w:r>
              <w:rPr>
                <w:rFonts w:hint="eastAsia" w:ascii="宋体" w:hAnsi="宋体" w:eastAsia="宋体"/>
                <w:b/>
                <w:color w:val="auto"/>
                <w:szCs w:val="21"/>
                <w:highlight w:val="none"/>
              </w:rPr>
              <w:t>评分标准</w:t>
            </w:r>
          </w:p>
        </w:tc>
      </w:tr>
      <w:tr w14:paraId="46FF34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921" w:hRule="atLeast"/>
        </w:trPr>
        <w:tc>
          <w:tcPr>
            <w:tcW w:w="907" w:type="dxa"/>
            <w:gridSpan w:val="2"/>
            <w:tcBorders>
              <w:top w:val="single" w:color="auto" w:sz="4" w:space="0"/>
              <w:right w:val="single" w:color="auto" w:sz="4" w:space="0"/>
            </w:tcBorders>
            <w:noWrap/>
            <w:vAlign w:val="center"/>
          </w:tcPr>
          <w:p w14:paraId="6147F04A">
            <w:pPr>
              <w:widowControl/>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2.2.4（</w:t>
            </w:r>
            <w:r>
              <w:rPr>
                <w:rFonts w:ascii="宋体" w:hAnsi="宋体" w:eastAsia="宋体"/>
                <w:color w:val="auto"/>
                <w:szCs w:val="21"/>
                <w:highlight w:val="none"/>
              </w:rPr>
              <w:t>1）</w:t>
            </w:r>
          </w:p>
        </w:tc>
        <w:tc>
          <w:tcPr>
            <w:tcW w:w="1304" w:type="dxa"/>
            <w:tcBorders>
              <w:top w:val="single" w:color="auto" w:sz="4" w:space="0"/>
              <w:right w:val="single" w:color="auto" w:sz="4" w:space="0"/>
            </w:tcBorders>
            <w:noWrap w:val="0"/>
            <w:vAlign w:val="center"/>
          </w:tcPr>
          <w:p w14:paraId="3A30EB88">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商务部分评分标准</w:t>
            </w:r>
          </w:p>
        </w:tc>
        <w:tc>
          <w:tcPr>
            <w:tcW w:w="7787" w:type="dxa"/>
            <w:gridSpan w:val="2"/>
            <w:vMerge w:val="restart"/>
            <w:tcBorders>
              <w:top w:val="single" w:color="auto" w:sz="4" w:space="0"/>
              <w:left w:val="single" w:color="auto" w:sz="4" w:space="0"/>
              <w:right w:val="single" w:color="auto" w:sz="4" w:space="0"/>
            </w:tcBorders>
            <w:noWrap/>
            <w:vAlign w:val="center"/>
          </w:tcPr>
          <w:p w14:paraId="62F82974">
            <w:pPr>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详见综合评分表。</w:t>
            </w:r>
          </w:p>
        </w:tc>
      </w:tr>
      <w:tr w14:paraId="57E86D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708" w:hRule="atLeast"/>
        </w:trPr>
        <w:tc>
          <w:tcPr>
            <w:tcW w:w="907" w:type="dxa"/>
            <w:gridSpan w:val="2"/>
            <w:tcBorders>
              <w:top w:val="single" w:color="auto" w:sz="4" w:space="0"/>
              <w:right w:val="single" w:color="auto" w:sz="4" w:space="0"/>
            </w:tcBorders>
            <w:noWrap/>
            <w:vAlign w:val="center"/>
          </w:tcPr>
          <w:p w14:paraId="58CB4E83">
            <w:pPr>
              <w:widowControl/>
              <w:spacing w:line="276" w:lineRule="auto"/>
              <w:jc w:val="center"/>
              <w:rPr>
                <w:rFonts w:ascii="宋体" w:hAnsi="宋体" w:eastAsia="宋体"/>
                <w:color w:val="auto"/>
                <w:szCs w:val="21"/>
                <w:highlight w:val="none"/>
              </w:rPr>
            </w:pPr>
            <w:r>
              <w:rPr>
                <w:rFonts w:ascii="宋体" w:hAnsi="宋体" w:eastAsia="宋体"/>
                <w:color w:val="auto"/>
                <w:szCs w:val="21"/>
                <w:highlight w:val="none"/>
              </w:rPr>
              <w:t>2.</w:t>
            </w:r>
            <w:r>
              <w:rPr>
                <w:rFonts w:hint="eastAsia" w:ascii="宋体" w:hAnsi="宋体" w:eastAsia="宋体"/>
                <w:color w:val="auto"/>
                <w:szCs w:val="21"/>
                <w:highlight w:val="none"/>
              </w:rPr>
              <w:t>2</w:t>
            </w:r>
            <w:r>
              <w:rPr>
                <w:rFonts w:ascii="宋体" w:hAnsi="宋体" w:eastAsia="宋体"/>
                <w:color w:val="auto"/>
                <w:szCs w:val="21"/>
                <w:highlight w:val="none"/>
              </w:rPr>
              <w:t>.4</w:t>
            </w:r>
          </w:p>
          <w:p w14:paraId="64BDC2AD">
            <w:pPr>
              <w:widowControl/>
              <w:spacing w:line="276" w:lineRule="auto"/>
              <w:jc w:val="center"/>
              <w:rPr>
                <w:rFonts w:ascii="宋体" w:hAnsi="宋体" w:eastAsia="宋体"/>
                <w:color w:val="auto"/>
                <w:szCs w:val="21"/>
                <w:highlight w:val="none"/>
              </w:rPr>
            </w:pPr>
            <w:r>
              <w:rPr>
                <w:rFonts w:ascii="宋体" w:hAnsi="宋体" w:eastAsia="宋体"/>
                <w:color w:val="auto"/>
                <w:szCs w:val="21"/>
                <w:highlight w:val="none"/>
              </w:rPr>
              <w:t>（2）</w:t>
            </w:r>
          </w:p>
        </w:tc>
        <w:tc>
          <w:tcPr>
            <w:tcW w:w="1304" w:type="dxa"/>
            <w:tcBorders>
              <w:top w:val="single" w:color="auto" w:sz="4" w:space="0"/>
              <w:right w:val="single" w:color="auto" w:sz="4" w:space="0"/>
            </w:tcBorders>
            <w:noWrap w:val="0"/>
            <w:vAlign w:val="center"/>
          </w:tcPr>
          <w:p w14:paraId="78FB2FB9">
            <w:pPr>
              <w:spacing w:line="276" w:lineRule="auto"/>
              <w:ind w:right="27" w:rightChars="13"/>
              <w:jc w:val="center"/>
              <w:rPr>
                <w:rFonts w:ascii="宋体" w:hAnsi="宋体" w:eastAsia="宋体"/>
                <w:color w:val="auto"/>
                <w:szCs w:val="21"/>
                <w:highlight w:val="none"/>
              </w:rPr>
            </w:pPr>
            <w:r>
              <w:rPr>
                <w:rFonts w:hint="eastAsia" w:ascii="宋体" w:hAnsi="宋体" w:eastAsia="宋体"/>
                <w:color w:val="auto"/>
                <w:szCs w:val="21"/>
                <w:highlight w:val="none"/>
              </w:rPr>
              <w:t>技术服务方案评分标准</w:t>
            </w:r>
          </w:p>
        </w:tc>
        <w:tc>
          <w:tcPr>
            <w:tcW w:w="7787" w:type="dxa"/>
            <w:gridSpan w:val="2"/>
            <w:vMerge w:val="continue"/>
            <w:tcBorders>
              <w:left w:val="single" w:color="auto" w:sz="4" w:space="0"/>
              <w:right w:val="single" w:color="auto" w:sz="4" w:space="0"/>
            </w:tcBorders>
            <w:noWrap/>
            <w:vAlign w:val="center"/>
          </w:tcPr>
          <w:p w14:paraId="32157760">
            <w:pPr>
              <w:widowControl/>
              <w:spacing w:line="276" w:lineRule="auto"/>
              <w:rPr>
                <w:rFonts w:ascii="宋体" w:hAnsi="宋体" w:eastAsia="宋体" w:cs="宋体"/>
                <w:color w:val="auto"/>
                <w:szCs w:val="21"/>
                <w:highlight w:val="none"/>
              </w:rPr>
            </w:pPr>
          </w:p>
        </w:tc>
      </w:tr>
      <w:tr w14:paraId="2D25AF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7" w:type="dxa"/>
          <w:trHeight w:val="902" w:hRule="atLeast"/>
        </w:trPr>
        <w:tc>
          <w:tcPr>
            <w:tcW w:w="907" w:type="dxa"/>
            <w:gridSpan w:val="2"/>
            <w:tcBorders>
              <w:top w:val="single" w:color="auto" w:sz="4" w:space="0"/>
              <w:bottom w:val="single" w:color="auto" w:sz="4" w:space="0"/>
              <w:right w:val="single" w:color="auto" w:sz="4" w:space="0"/>
            </w:tcBorders>
            <w:noWrap/>
            <w:vAlign w:val="center"/>
          </w:tcPr>
          <w:p w14:paraId="7EAF8D78">
            <w:pPr>
              <w:widowControl/>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2.2.4（</w:t>
            </w:r>
            <w:r>
              <w:rPr>
                <w:rFonts w:ascii="宋体" w:hAnsi="宋体" w:eastAsia="宋体"/>
                <w:color w:val="auto"/>
                <w:szCs w:val="21"/>
                <w:highlight w:val="none"/>
              </w:rPr>
              <w:t>3</w:t>
            </w:r>
            <w:r>
              <w:rPr>
                <w:rFonts w:hint="eastAsia" w:ascii="宋体" w:hAnsi="宋体" w:eastAsia="宋体"/>
                <w:color w:val="auto"/>
                <w:szCs w:val="21"/>
                <w:highlight w:val="none"/>
              </w:rPr>
              <w:t>）</w:t>
            </w:r>
          </w:p>
        </w:tc>
        <w:tc>
          <w:tcPr>
            <w:tcW w:w="1304" w:type="dxa"/>
            <w:tcBorders>
              <w:top w:val="single" w:color="auto" w:sz="4" w:space="0"/>
              <w:bottom w:val="single" w:color="auto" w:sz="4" w:space="0"/>
              <w:right w:val="single" w:color="auto" w:sz="4" w:space="0"/>
            </w:tcBorders>
            <w:noWrap w:val="0"/>
            <w:vAlign w:val="center"/>
          </w:tcPr>
          <w:p w14:paraId="086252AB">
            <w:pPr>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投标报价评分标准（</w:t>
            </w:r>
            <w:r>
              <w:rPr>
                <w:rFonts w:ascii="宋体" w:hAnsi="宋体" w:eastAsia="宋体"/>
                <w:color w:val="auto"/>
                <w:szCs w:val="21"/>
                <w:highlight w:val="none"/>
              </w:rPr>
              <w:t>100</w:t>
            </w:r>
            <w:r>
              <w:rPr>
                <w:rFonts w:hint="eastAsia" w:ascii="宋体" w:hAnsi="宋体" w:eastAsia="宋体"/>
                <w:color w:val="auto"/>
                <w:szCs w:val="21"/>
                <w:highlight w:val="none"/>
              </w:rPr>
              <w:t>分）</w:t>
            </w:r>
          </w:p>
        </w:tc>
        <w:tc>
          <w:tcPr>
            <w:tcW w:w="7787" w:type="dxa"/>
            <w:gridSpan w:val="2"/>
            <w:vMerge w:val="continue"/>
            <w:tcBorders>
              <w:left w:val="single" w:color="auto" w:sz="4" w:space="0"/>
              <w:bottom w:val="single" w:color="auto" w:sz="4" w:space="0"/>
              <w:right w:val="single" w:color="auto" w:sz="4" w:space="0"/>
            </w:tcBorders>
            <w:noWrap/>
            <w:vAlign w:val="center"/>
          </w:tcPr>
          <w:p w14:paraId="25E63853">
            <w:pPr>
              <w:spacing w:line="276" w:lineRule="auto"/>
              <w:ind w:right="134" w:rightChars="64"/>
              <w:rPr>
                <w:rFonts w:ascii="宋体" w:hAnsi="宋体" w:eastAsia="宋体"/>
                <w:color w:val="auto"/>
                <w:szCs w:val="21"/>
                <w:highlight w:val="none"/>
              </w:rPr>
            </w:pPr>
          </w:p>
        </w:tc>
      </w:tr>
      <w:tr w14:paraId="0369B8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trPr>
        <w:tc>
          <w:tcPr>
            <w:tcW w:w="907" w:type="dxa"/>
            <w:gridSpan w:val="2"/>
            <w:tcBorders>
              <w:top w:val="single" w:color="auto" w:sz="4" w:space="0"/>
              <w:bottom w:val="single" w:color="auto" w:sz="4" w:space="0"/>
              <w:right w:val="single" w:color="auto" w:sz="4" w:space="0"/>
            </w:tcBorders>
            <w:noWrap/>
            <w:vAlign w:val="center"/>
          </w:tcPr>
          <w:p w14:paraId="6DA6AD41">
            <w:pPr>
              <w:widowControl/>
              <w:spacing w:line="276" w:lineRule="auto"/>
              <w:jc w:val="center"/>
              <w:rPr>
                <w:rFonts w:ascii="宋体" w:hAnsi="宋体" w:eastAsia="宋体"/>
                <w:color w:val="auto"/>
                <w:szCs w:val="21"/>
                <w:highlight w:val="none"/>
              </w:rPr>
            </w:pPr>
            <w:r>
              <w:rPr>
                <w:rFonts w:hint="eastAsia" w:ascii="宋体" w:hAnsi="宋体" w:eastAsia="宋体"/>
                <w:color w:val="auto"/>
                <w:szCs w:val="21"/>
                <w:highlight w:val="none"/>
              </w:rPr>
              <w:t>2.2.4</w:t>
            </w:r>
          </w:p>
          <w:p w14:paraId="5F0A0E4B">
            <w:pPr>
              <w:pStyle w:val="114"/>
              <w:spacing w:line="276" w:lineRule="auto"/>
              <w:ind w:firstLine="0"/>
              <w:jc w:val="center"/>
              <w:rPr>
                <w:rFonts w:ascii="宋体" w:hAnsi="宋体"/>
                <w:color w:val="auto"/>
                <w:szCs w:val="21"/>
                <w:highlight w:val="none"/>
              </w:rPr>
            </w:pPr>
            <w:r>
              <w:rPr>
                <w:rFonts w:hint="eastAsia" w:ascii="宋体" w:hAnsi="宋体"/>
                <w:color w:val="auto"/>
                <w:szCs w:val="21"/>
                <w:highlight w:val="none"/>
              </w:rPr>
              <w:t>说明</w:t>
            </w:r>
          </w:p>
        </w:tc>
        <w:tc>
          <w:tcPr>
            <w:tcW w:w="9098" w:type="dxa"/>
            <w:gridSpan w:val="4"/>
            <w:tcBorders>
              <w:top w:val="single" w:color="auto" w:sz="4" w:space="0"/>
              <w:bottom w:val="single" w:color="auto" w:sz="4" w:space="0"/>
              <w:right w:val="single" w:color="auto" w:sz="4" w:space="0"/>
            </w:tcBorders>
            <w:noWrap w:val="0"/>
            <w:vAlign w:val="center"/>
          </w:tcPr>
          <w:p w14:paraId="7F8F0735">
            <w:pPr>
              <w:snapToGrid w:val="0"/>
              <w:spacing w:line="276" w:lineRule="auto"/>
              <w:jc w:val="left"/>
              <w:rPr>
                <w:rFonts w:ascii="宋体" w:hAnsi="宋体" w:eastAsia="宋体"/>
                <w:color w:val="auto"/>
                <w:szCs w:val="21"/>
                <w:highlight w:val="none"/>
              </w:rPr>
            </w:pPr>
            <w:r>
              <w:rPr>
                <w:rFonts w:hint="eastAsia" w:ascii="宋体" w:hAnsi="宋体" w:eastAsia="宋体"/>
                <w:color w:val="auto"/>
                <w:szCs w:val="21"/>
                <w:highlight w:val="none"/>
              </w:rPr>
              <w:t>投标人的投标人综合得分为各评委的评分汇总后的算术平均值（分数出现小数点时，保留小数点后二位，第三位小数四舍五入）。</w:t>
            </w:r>
          </w:p>
        </w:tc>
      </w:tr>
    </w:tbl>
    <w:p w14:paraId="1A8E464D">
      <w:pPr>
        <w:widowControl/>
        <w:jc w:val="left"/>
        <w:rPr>
          <w:rFonts w:ascii="宋体" w:hAnsi="宋体" w:eastAsia="宋体"/>
          <w:color w:val="auto"/>
          <w:highlight w:val="none"/>
        </w:rPr>
      </w:pPr>
    </w:p>
    <w:p w14:paraId="1257BAD2">
      <w:pPr>
        <w:widowControl/>
        <w:jc w:val="left"/>
        <w:rPr>
          <w:rFonts w:ascii="宋体" w:hAnsi="宋体" w:eastAsia="宋体"/>
          <w:color w:val="auto"/>
          <w:highlight w:val="none"/>
        </w:rPr>
        <w:sectPr>
          <w:pgSz w:w="11906" w:h="16838"/>
          <w:pgMar w:top="1440" w:right="1800" w:bottom="1440" w:left="1800" w:header="720" w:footer="720" w:gutter="0"/>
          <w:pgBorders>
            <w:top w:val="none" w:sz="0" w:space="0"/>
            <w:left w:val="none" w:sz="0" w:space="0"/>
            <w:bottom w:val="none" w:sz="0" w:space="0"/>
            <w:right w:val="none" w:sz="0" w:space="0"/>
          </w:pgBorders>
          <w:cols w:space="720" w:num="1"/>
          <w:docGrid w:linePitch="286" w:charSpace="0"/>
        </w:sectPr>
      </w:pPr>
    </w:p>
    <w:p w14:paraId="1147D6F2">
      <w:pPr>
        <w:spacing w:line="360" w:lineRule="auto"/>
        <w:jc w:val="center"/>
        <w:rPr>
          <w:rFonts w:ascii="宋体" w:hAnsi="宋体" w:eastAsia="宋体"/>
          <w:b/>
          <w:color w:val="auto"/>
          <w:sz w:val="36"/>
          <w:szCs w:val="36"/>
          <w:highlight w:val="none"/>
        </w:rPr>
      </w:pPr>
      <w:bookmarkStart w:id="348" w:name="_Toc23494909"/>
      <w:r>
        <w:rPr>
          <w:rFonts w:hint="eastAsia" w:ascii="宋体" w:hAnsi="宋体" w:eastAsia="宋体"/>
          <w:b/>
          <w:color w:val="auto"/>
          <w:sz w:val="36"/>
          <w:szCs w:val="36"/>
          <w:highlight w:val="none"/>
        </w:rPr>
        <w:t>综合评分表</w:t>
      </w:r>
    </w:p>
    <w:bookmarkEnd w:id="348"/>
    <w:tbl>
      <w:tblPr>
        <w:tblStyle w:val="32"/>
        <w:tblW w:w="502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41"/>
        <w:gridCol w:w="1488"/>
        <w:gridCol w:w="619"/>
        <w:gridCol w:w="11203"/>
      </w:tblGrid>
      <w:tr w14:paraId="544A4AE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74" w:hRule="atLeast"/>
          <w:jc w:val="center"/>
        </w:trPr>
        <w:tc>
          <w:tcPr>
            <w:tcW w:w="330" w:type="pct"/>
            <w:noWrap w:val="0"/>
            <w:vAlign w:val="center"/>
          </w:tcPr>
          <w:p w14:paraId="6CAAC3D3">
            <w:pPr>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522" w:type="pct"/>
            <w:noWrap w:val="0"/>
            <w:vAlign w:val="center"/>
          </w:tcPr>
          <w:p w14:paraId="0D6C15E4">
            <w:pPr>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评分内容</w:t>
            </w:r>
          </w:p>
        </w:tc>
        <w:tc>
          <w:tcPr>
            <w:tcW w:w="217" w:type="pct"/>
            <w:noWrap w:val="0"/>
            <w:vAlign w:val="center"/>
          </w:tcPr>
          <w:p w14:paraId="2814F387">
            <w:pPr>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分值</w:t>
            </w:r>
          </w:p>
        </w:tc>
        <w:tc>
          <w:tcPr>
            <w:tcW w:w="3929" w:type="pct"/>
            <w:noWrap w:val="0"/>
            <w:vAlign w:val="center"/>
          </w:tcPr>
          <w:p w14:paraId="10B03B6C">
            <w:pPr>
              <w:spacing w:line="360" w:lineRule="auto"/>
              <w:jc w:val="center"/>
              <w:rPr>
                <w:rFonts w:ascii="宋体" w:hAnsi="宋体" w:eastAsia="宋体" w:cs="宋体"/>
                <w:b/>
                <w:bCs/>
                <w:color w:val="auto"/>
                <w:szCs w:val="21"/>
                <w:highlight w:val="none"/>
              </w:rPr>
            </w:pPr>
            <w:r>
              <w:rPr>
                <w:rFonts w:hint="eastAsia" w:ascii="宋体" w:hAnsi="宋体" w:eastAsia="宋体" w:cs="宋体"/>
                <w:b/>
                <w:bCs/>
                <w:color w:val="auto"/>
                <w:szCs w:val="21"/>
                <w:highlight w:val="none"/>
              </w:rPr>
              <w:t>评分标准</w:t>
            </w:r>
          </w:p>
        </w:tc>
      </w:tr>
      <w:tr w14:paraId="59902A1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330" w:type="pct"/>
            <w:noWrap w:val="0"/>
            <w:vAlign w:val="center"/>
          </w:tcPr>
          <w:p w14:paraId="0FED3E87">
            <w:pPr>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一</w:t>
            </w:r>
          </w:p>
        </w:tc>
        <w:tc>
          <w:tcPr>
            <w:tcW w:w="522" w:type="pct"/>
            <w:noWrap w:val="0"/>
            <w:vAlign w:val="center"/>
          </w:tcPr>
          <w:p w14:paraId="6E183C98">
            <w:pPr>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商务部分</w:t>
            </w:r>
          </w:p>
        </w:tc>
        <w:tc>
          <w:tcPr>
            <w:tcW w:w="217" w:type="pct"/>
            <w:noWrap w:val="0"/>
            <w:vAlign w:val="center"/>
          </w:tcPr>
          <w:p w14:paraId="29E54324">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20</w:t>
            </w:r>
          </w:p>
        </w:tc>
        <w:tc>
          <w:tcPr>
            <w:tcW w:w="3929" w:type="pct"/>
            <w:noWrap w:val="0"/>
            <w:vAlign w:val="center"/>
          </w:tcPr>
          <w:p w14:paraId="11BAB01D">
            <w:pPr>
              <w:spacing w:line="360" w:lineRule="auto"/>
              <w:jc w:val="center"/>
              <w:rPr>
                <w:rFonts w:ascii="宋体" w:hAnsi="宋体" w:eastAsia="宋体" w:cs="宋体"/>
                <w:color w:val="auto"/>
                <w:szCs w:val="21"/>
                <w:highlight w:val="none"/>
              </w:rPr>
            </w:pPr>
            <w:r>
              <w:rPr>
                <w:rFonts w:ascii="宋体" w:hAnsi="宋体" w:eastAsia="宋体" w:cs="宋体"/>
                <w:color w:val="auto"/>
                <w:szCs w:val="21"/>
                <w:highlight w:val="none"/>
              </w:rPr>
              <w:t>/</w:t>
            </w:r>
          </w:p>
        </w:tc>
      </w:tr>
      <w:tr w14:paraId="71BD221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52" w:hRule="atLeast"/>
          <w:jc w:val="center"/>
        </w:trPr>
        <w:tc>
          <w:tcPr>
            <w:tcW w:w="330" w:type="pct"/>
            <w:noWrap w:val="0"/>
            <w:vAlign w:val="center"/>
          </w:tcPr>
          <w:p w14:paraId="66E1BF81">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1.1</w:t>
            </w:r>
          </w:p>
        </w:tc>
        <w:tc>
          <w:tcPr>
            <w:tcW w:w="522" w:type="pct"/>
            <w:noWrap w:val="0"/>
            <w:vAlign w:val="center"/>
          </w:tcPr>
          <w:p w14:paraId="661CCE4C">
            <w:pPr>
              <w:spacing w:line="360" w:lineRule="auto"/>
              <w:jc w:val="center"/>
              <w:rPr>
                <w:rFonts w:ascii="宋体" w:hAnsi="宋体" w:eastAsia="宋体" w:cs="宋体"/>
                <w:color w:val="auto"/>
                <w:szCs w:val="21"/>
                <w:highlight w:val="none"/>
              </w:rPr>
            </w:pPr>
            <w:r>
              <w:rPr>
                <w:rFonts w:hint="eastAsia" w:ascii="宋体" w:hAnsi="宋体" w:eastAsia="宋体" w:cs="宋体"/>
                <w:color w:val="auto"/>
                <w:spacing w:val="8"/>
                <w:szCs w:val="21"/>
                <w:highlight w:val="none"/>
              </w:rPr>
              <w:t>公司类似项目业绩</w:t>
            </w:r>
          </w:p>
        </w:tc>
        <w:tc>
          <w:tcPr>
            <w:tcW w:w="217" w:type="pct"/>
            <w:noWrap w:val="0"/>
            <w:vAlign w:val="center"/>
          </w:tcPr>
          <w:p w14:paraId="6B305276">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6</w:t>
            </w:r>
          </w:p>
        </w:tc>
        <w:tc>
          <w:tcPr>
            <w:tcW w:w="3929" w:type="pct"/>
            <w:noWrap w:val="0"/>
            <w:vAlign w:val="center"/>
          </w:tcPr>
          <w:p w14:paraId="7469C06E">
            <w:pPr>
              <w:pStyle w:val="8"/>
              <w:ind w:firstLine="0" w:firstLineChars="0"/>
              <w:rPr>
                <w:rFonts w:hint="eastAsia" w:ascii="宋体" w:hAnsi="宋体" w:cs="宋体"/>
                <w:color w:val="auto"/>
                <w:szCs w:val="21"/>
                <w:highlight w:val="none"/>
              </w:rPr>
            </w:pPr>
            <w:r>
              <w:rPr>
                <w:rFonts w:hint="eastAsia" w:ascii="宋体" w:hAnsi="宋体" w:cs="宋体"/>
                <w:color w:val="auto"/>
                <w:szCs w:val="21"/>
                <w:highlight w:val="none"/>
              </w:rPr>
              <w:t>近年同类项目（规模、</w:t>
            </w:r>
            <w:r>
              <w:rPr>
                <w:rFonts w:hint="eastAsia" w:ascii="宋体" w:hAnsi="宋体" w:cs="宋体"/>
                <w:color w:val="auto"/>
                <w:szCs w:val="21"/>
                <w:highlight w:val="none"/>
                <w:lang w:val="en-US" w:eastAsia="zh-CN"/>
              </w:rPr>
              <w:t>建筑面积</w:t>
            </w:r>
            <w:r>
              <w:rPr>
                <w:rFonts w:hint="eastAsia" w:ascii="宋体" w:hAnsi="宋体" w:cs="宋体"/>
                <w:color w:val="auto"/>
                <w:szCs w:val="21"/>
                <w:highlight w:val="none"/>
              </w:rPr>
              <w:t>、使用性质等）业绩，须提供类似项目的项目名称、项目规模、用户名称</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合同签订时间</w:t>
            </w:r>
            <w:r>
              <w:rPr>
                <w:rFonts w:hint="eastAsia" w:ascii="宋体" w:hAnsi="宋体" w:cs="宋体"/>
                <w:color w:val="auto"/>
                <w:szCs w:val="21"/>
                <w:highlight w:val="none"/>
              </w:rPr>
              <w:t>等信息</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时间以合同签订时间为准</w:t>
            </w:r>
            <w:r>
              <w:rPr>
                <w:rFonts w:hint="eastAsia" w:ascii="宋体" w:hAnsi="宋体" w:cs="宋体"/>
                <w:color w:val="auto"/>
                <w:szCs w:val="21"/>
                <w:highlight w:val="none"/>
              </w:rPr>
              <w:t>（附合同主要页复印件）：</w:t>
            </w:r>
          </w:p>
          <w:p w14:paraId="2D4C6323">
            <w:pPr>
              <w:pStyle w:val="8"/>
              <w:ind w:firstLine="0" w:firstLineChars="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独家租赁或首席租赁代理</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最高得4分</w:t>
            </w:r>
            <w:r>
              <w:rPr>
                <w:rFonts w:hint="eastAsia" w:ascii="宋体" w:hAnsi="宋体" w:cs="宋体"/>
                <w:color w:val="auto"/>
                <w:szCs w:val="21"/>
                <w:highlight w:val="none"/>
                <w:lang w:eastAsia="zh-CN"/>
              </w:rPr>
              <w:t>）</w:t>
            </w:r>
          </w:p>
          <w:p w14:paraId="766ADC07">
            <w:pPr>
              <w:pStyle w:val="8"/>
              <w:ind w:firstLine="0" w:firstLineChars="0"/>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年1月1日至今，独家租赁或首席租赁代理的写字楼建筑面积大于</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万平方米（含</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万平方米）的写字楼项目，每个得1.5分；</w:t>
            </w:r>
          </w:p>
          <w:p w14:paraId="20792576">
            <w:pPr>
              <w:pStyle w:val="8"/>
              <w:ind w:firstLine="0" w:firstLineChars="0"/>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年1月1日至今，独家租赁或首席租赁代理的写字楼建筑面积</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万平方米（含</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万平方米）的写字楼项目，每个得1分；</w:t>
            </w:r>
          </w:p>
          <w:p w14:paraId="074D6962">
            <w:pPr>
              <w:pStyle w:val="8"/>
              <w:ind w:firstLine="0" w:firstLineChars="0"/>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年1月1日至今，独家租赁或首席租赁代理的写字楼建筑面积</w:t>
            </w:r>
            <w:r>
              <w:rPr>
                <w:rFonts w:hint="eastAsia" w:ascii="宋体" w:hAnsi="宋体" w:cs="宋体"/>
                <w:color w:val="auto"/>
                <w:szCs w:val="21"/>
                <w:highlight w:val="none"/>
                <w:lang w:val="en-US" w:eastAsia="zh-CN"/>
              </w:rPr>
              <w:t>0.5-2</w:t>
            </w:r>
            <w:r>
              <w:rPr>
                <w:rFonts w:hint="eastAsia" w:ascii="宋体" w:hAnsi="宋体" w:cs="宋体"/>
                <w:color w:val="auto"/>
                <w:szCs w:val="21"/>
                <w:highlight w:val="none"/>
              </w:rPr>
              <w:t>万平方米（含</w:t>
            </w:r>
            <w:r>
              <w:rPr>
                <w:rFonts w:hint="eastAsia" w:ascii="宋体" w:hAnsi="宋体" w:cs="宋体"/>
                <w:color w:val="auto"/>
                <w:szCs w:val="21"/>
                <w:highlight w:val="none"/>
                <w:lang w:val="en-US" w:eastAsia="zh-CN"/>
              </w:rPr>
              <w:t>0.5</w:t>
            </w:r>
            <w:r>
              <w:rPr>
                <w:rFonts w:hint="eastAsia" w:ascii="宋体" w:hAnsi="宋体" w:cs="宋体"/>
                <w:color w:val="auto"/>
                <w:szCs w:val="21"/>
                <w:highlight w:val="none"/>
              </w:rPr>
              <w:t>万平方米）的写字楼项目，每个得0.5分。</w:t>
            </w:r>
          </w:p>
          <w:p w14:paraId="4F84A0EC">
            <w:pPr>
              <w:pStyle w:val="8"/>
              <w:ind w:firstLine="0" w:firstLineChars="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2.一般</w:t>
            </w:r>
            <w:r>
              <w:rPr>
                <w:rFonts w:hint="eastAsia" w:ascii="宋体" w:hAnsi="宋体" w:cs="宋体"/>
                <w:color w:val="auto"/>
                <w:szCs w:val="21"/>
                <w:highlight w:val="none"/>
              </w:rPr>
              <w:t>租赁代理</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不含</w:t>
            </w:r>
            <w:r>
              <w:rPr>
                <w:rFonts w:hint="eastAsia" w:ascii="宋体" w:hAnsi="宋体" w:cs="宋体"/>
                <w:color w:val="auto"/>
                <w:szCs w:val="21"/>
                <w:highlight w:val="none"/>
              </w:rPr>
              <w:t>独家租赁或首席租赁代理</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最高得2分</w:t>
            </w:r>
            <w:r>
              <w:rPr>
                <w:rFonts w:hint="eastAsia" w:ascii="宋体" w:hAnsi="宋体" w:cs="宋体"/>
                <w:color w:val="auto"/>
                <w:szCs w:val="21"/>
                <w:highlight w:val="none"/>
                <w:lang w:eastAsia="zh-CN"/>
              </w:rPr>
              <w:t>）</w:t>
            </w:r>
          </w:p>
          <w:p w14:paraId="52A1FEA8">
            <w:pPr>
              <w:pStyle w:val="8"/>
              <w:ind w:firstLine="0" w:firstLineChars="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202</w:t>
            </w:r>
            <w:r>
              <w:rPr>
                <w:rFonts w:hint="eastAsia" w:ascii="宋体" w:hAnsi="宋体" w:cs="宋体"/>
                <w:color w:val="auto"/>
                <w:szCs w:val="21"/>
                <w:highlight w:val="none"/>
                <w:lang w:val="en-US" w:eastAsia="zh-CN"/>
              </w:rPr>
              <w:t>0</w:t>
            </w:r>
            <w:r>
              <w:rPr>
                <w:rFonts w:hint="eastAsia" w:ascii="宋体" w:hAnsi="宋体" w:cs="宋体"/>
                <w:color w:val="auto"/>
                <w:szCs w:val="21"/>
                <w:highlight w:val="none"/>
              </w:rPr>
              <w:t>年1月1日至今，</w:t>
            </w:r>
            <w:r>
              <w:rPr>
                <w:rFonts w:hint="eastAsia" w:ascii="宋体" w:hAnsi="宋体" w:cs="宋体"/>
                <w:color w:val="auto"/>
                <w:szCs w:val="21"/>
                <w:highlight w:val="none"/>
                <w:lang w:val="en-US" w:eastAsia="zh-CN"/>
              </w:rPr>
              <w:t>作为一般租赁代理</w:t>
            </w:r>
            <w:r>
              <w:rPr>
                <w:rFonts w:hint="eastAsia" w:ascii="宋体" w:hAnsi="宋体" w:cs="宋体"/>
                <w:color w:val="auto"/>
                <w:szCs w:val="21"/>
                <w:highlight w:val="none"/>
              </w:rPr>
              <w:t>的写字楼建筑面积</w:t>
            </w:r>
            <w:r>
              <w:rPr>
                <w:rFonts w:hint="eastAsia" w:ascii="宋体" w:hAnsi="宋体" w:cs="宋体"/>
                <w:color w:val="auto"/>
                <w:szCs w:val="21"/>
                <w:highlight w:val="none"/>
                <w:lang w:val="en-US" w:eastAsia="zh-CN"/>
              </w:rPr>
              <w:t>0.2</w:t>
            </w:r>
            <w:r>
              <w:rPr>
                <w:rFonts w:hint="eastAsia" w:ascii="宋体" w:hAnsi="宋体" w:cs="宋体"/>
                <w:color w:val="auto"/>
                <w:szCs w:val="21"/>
                <w:highlight w:val="none"/>
              </w:rPr>
              <w:t>万平方米</w:t>
            </w:r>
            <w:r>
              <w:rPr>
                <w:rFonts w:hint="eastAsia" w:ascii="宋体" w:hAnsi="宋体" w:cs="宋体"/>
                <w:color w:val="auto"/>
                <w:szCs w:val="21"/>
                <w:highlight w:val="none"/>
                <w:lang w:val="en-US" w:eastAsia="zh-CN"/>
              </w:rPr>
              <w:t>以上</w:t>
            </w:r>
            <w:r>
              <w:rPr>
                <w:rFonts w:hint="eastAsia" w:ascii="宋体" w:hAnsi="宋体" w:cs="宋体"/>
                <w:color w:val="auto"/>
                <w:szCs w:val="21"/>
                <w:highlight w:val="none"/>
              </w:rPr>
              <w:t>（含</w:t>
            </w:r>
            <w:r>
              <w:rPr>
                <w:rFonts w:hint="eastAsia" w:ascii="宋体" w:hAnsi="宋体" w:cs="宋体"/>
                <w:color w:val="auto"/>
                <w:szCs w:val="21"/>
                <w:highlight w:val="none"/>
                <w:lang w:val="en-US" w:eastAsia="zh-CN"/>
              </w:rPr>
              <w:t>0.2</w:t>
            </w:r>
            <w:r>
              <w:rPr>
                <w:rFonts w:hint="eastAsia" w:ascii="宋体" w:hAnsi="宋体" w:cs="宋体"/>
                <w:color w:val="auto"/>
                <w:szCs w:val="21"/>
                <w:highlight w:val="none"/>
              </w:rPr>
              <w:t>万平方米）的写字楼项目，每个得0.</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分。</w:t>
            </w:r>
          </w:p>
          <w:p w14:paraId="457B855A">
            <w:pPr>
              <w:pStyle w:val="8"/>
              <w:ind w:firstLine="0" w:firstLineChars="0"/>
              <w:rPr>
                <w:rFonts w:ascii="宋体" w:hAnsi="宋体" w:eastAsia="宋体" w:cs="宋体"/>
                <w:color w:val="auto"/>
                <w:szCs w:val="21"/>
                <w:highlight w:val="none"/>
                <w:u w:val="single"/>
              </w:rPr>
            </w:pPr>
            <w:r>
              <w:rPr>
                <w:rFonts w:hint="eastAsia" w:ascii="宋体" w:hAnsi="宋体" w:cs="宋体"/>
                <w:color w:val="auto"/>
                <w:szCs w:val="21"/>
                <w:highlight w:val="none"/>
                <w:lang w:val="en-US" w:eastAsia="zh-CN"/>
              </w:rPr>
              <w:t>其余不得分，</w:t>
            </w:r>
            <w:r>
              <w:rPr>
                <w:rFonts w:hint="eastAsia" w:ascii="宋体" w:hAnsi="宋体" w:cs="宋体"/>
                <w:color w:val="auto"/>
                <w:szCs w:val="21"/>
                <w:highlight w:val="none"/>
              </w:rPr>
              <w:t>本项最高得6分，最低得0分。</w:t>
            </w:r>
          </w:p>
        </w:tc>
      </w:tr>
      <w:tr w14:paraId="1A3CCFF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293" w:hRule="atLeast"/>
          <w:jc w:val="center"/>
        </w:trPr>
        <w:tc>
          <w:tcPr>
            <w:tcW w:w="330" w:type="pct"/>
            <w:noWrap w:val="0"/>
            <w:vAlign w:val="center"/>
          </w:tcPr>
          <w:p w14:paraId="432A7B11">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522" w:type="pct"/>
            <w:noWrap w:val="0"/>
            <w:vAlign w:val="center"/>
          </w:tcPr>
          <w:p w14:paraId="5B684CEA">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拟投入本项目团队情况</w:t>
            </w:r>
          </w:p>
        </w:tc>
        <w:tc>
          <w:tcPr>
            <w:tcW w:w="217" w:type="pct"/>
            <w:noWrap w:val="0"/>
            <w:vAlign w:val="center"/>
          </w:tcPr>
          <w:p w14:paraId="5310187D">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12</w:t>
            </w:r>
          </w:p>
        </w:tc>
        <w:tc>
          <w:tcPr>
            <w:tcW w:w="3929" w:type="pct"/>
            <w:noWrap w:val="0"/>
            <w:vAlign w:val="center"/>
          </w:tcPr>
          <w:p w14:paraId="610AF8D8">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针对本项目拟投入人员的素质以及资格情况，工作经验等给分。</w:t>
            </w:r>
          </w:p>
          <w:p w14:paraId="53A7D0A8">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1、项目总负责人（项目总监）</w:t>
            </w:r>
          </w:p>
          <w:p w14:paraId="0886C82E">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（1）项目总负责人从事策划及租售代理工作</w:t>
            </w:r>
            <w:r>
              <w:rPr>
                <w:rFonts w:hint="eastAsia" w:ascii="宋体" w:hAnsi="宋体" w:eastAsia="宋体" w:cs="宋体"/>
                <w:color w:val="auto"/>
                <w:szCs w:val="21"/>
                <w:highlight w:val="none"/>
                <w:u w:val="single"/>
                <w:lang w:val="en-US" w:eastAsia="zh-CN"/>
              </w:rPr>
              <w:t>8</w:t>
            </w:r>
            <w:r>
              <w:rPr>
                <w:rFonts w:hint="eastAsia" w:ascii="宋体" w:hAnsi="宋体" w:eastAsia="宋体" w:cs="宋体"/>
                <w:color w:val="auto"/>
                <w:szCs w:val="21"/>
                <w:highlight w:val="none"/>
                <w:u w:val="single"/>
              </w:rPr>
              <w:t>年</w:t>
            </w:r>
            <w:r>
              <w:rPr>
                <w:rFonts w:hint="eastAsia" w:ascii="宋体" w:hAnsi="宋体" w:eastAsia="宋体" w:cs="宋体"/>
                <w:color w:val="auto"/>
                <w:szCs w:val="21"/>
                <w:highlight w:val="none"/>
                <w:u w:val="single"/>
                <w:lang w:val="en-US" w:eastAsia="zh-CN"/>
              </w:rPr>
              <w:t>或</w:t>
            </w:r>
            <w:r>
              <w:rPr>
                <w:rFonts w:hint="eastAsia" w:ascii="宋体" w:hAnsi="宋体" w:eastAsia="宋体" w:cs="宋体"/>
                <w:color w:val="auto"/>
                <w:szCs w:val="21"/>
                <w:highlight w:val="none"/>
                <w:u w:val="single"/>
              </w:rPr>
              <w:t>以上的得</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u w:val="single"/>
              </w:rPr>
              <w:t>分，5年(含)-</w:t>
            </w:r>
            <w:r>
              <w:rPr>
                <w:rFonts w:hint="eastAsia" w:ascii="宋体" w:hAnsi="宋体" w:eastAsia="宋体" w:cs="宋体"/>
                <w:color w:val="auto"/>
                <w:szCs w:val="21"/>
                <w:highlight w:val="none"/>
                <w:u w:val="single"/>
                <w:lang w:val="en-US" w:eastAsia="zh-CN"/>
              </w:rPr>
              <w:t>8</w:t>
            </w:r>
            <w:r>
              <w:rPr>
                <w:rFonts w:hint="eastAsia" w:ascii="宋体" w:hAnsi="宋体" w:eastAsia="宋体" w:cs="宋体"/>
                <w:color w:val="auto"/>
                <w:szCs w:val="21"/>
                <w:highlight w:val="none"/>
                <w:u w:val="single"/>
              </w:rPr>
              <w:t>年(</w:t>
            </w:r>
            <w:r>
              <w:rPr>
                <w:rFonts w:hint="eastAsia" w:ascii="宋体" w:hAnsi="宋体" w:eastAsia="宋体" w:cs="宋体"/>
                <w:color w:val="auto"/>
                <w:szCs w:val="21"/>
                <w:highlight w:val="none"/>
                <w:u w:val="single"/>
                <w:lang w:val="en-US" w:eastAsia="zh-CN"/>
              </w:rPr>
              <w:t>不</w:t>
            </w:r>
            <w:r>
              <w:rPr>
                <w:rFonts w:hint="eastAsia" w:ascii="宋体" w:hAnsi="宋体" w:eastAsia="宋体" w:cs="宋体"/>
                <w:color w:val="auto"/>
                <w:szCs w:val="21"/>
                <w:highlight w:val="none"/>
                <w:u w:val="single"/>
              </w:rPr>
              <w:t>含)的得</w:t>
            </w:r>
            <w:r>
              <w:rPr>
                <w:rFonts w:hint="eastAsia" w:ascii="宋体" w:hAnsi="宋体" w:eastAsia="宋体" w:cs="宋体"/>
                <w:color w:val="auto"/>
                <w:szCs w:val="21"/>
                <w:highlight w:val="none"/>
                <w:u w:val="single"/>
                <w:lang w:val="en-US" w:eastAsia="zh-CN"/>
              </w:rPr>
              <w:t>1</w:t>
            </w:r>
            <w:r>
              <w:rPr>
                <w:rFonts w:hint="eastAsia" w:ascii="宋体" w:hAnsi="宋体" w:eastAsia="宋体" w:cs="宋体"/>
                <w:color w:val="auto"/>
                <w:szCs w:val="21"/>
                <w:highlight w:val="none"/>
                <w:u w:val="single"/>
              </w:rPr>
              <w:t>分，5年以下不得分；</w:t>
            </w:r>
          </w:p>
          <w:p w14:paraId="4A9C1CB4">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（2）作为项目总负责人202</w:t>
            </w:r>
            <w:r>
              <w:rPr>
                <w:rFonts w:hint="eastAsia" w:ascii="宋体" w:hAnsi="宋体" w:eastAsia="宋体" w:cs="宋体"/>
                <w:color w:val="auto"/>
                <w:szCs w:val="21"/>
                <w:highlight w:val="none"/>
                <w:u w:val="single"/>
                <w:lang w:val="en-US" w:eastAsia="zh-CN"/>
              </w:rPr>
              <w:t>0</w:t>
            </w:r>
            <w:r>
              <w:rPr>
                <w:rFonts w:hint="eastAsia" w:ascii="宋体" w:hAnsi="宋体" w:eastAsia="宋体" w:cs="宋体"/>
                <w:color w:val="auto"/>
                <w:szCs w:val="21"/>
                <w:highlight w:val="none"/>
                <w:u w:val="single"/>
              </w:rPr>
              <w:t>年1月1日至今完成过房地产一手策划及租售代理</w:t>
            </w:r>
            <w:r>
              <w:rPr>
                <w:rFonts w:hint="eastAsia" w:ascii="宋体" w:hAnsi="宋体" w:eastAsia="宋体" w:cs="宋体"/>
                <w:color w:val="auto"/>
                <w:szCs w:val="21"/>
                <w:highlight w:val="none"/>
                <w:u w:val="single"/>
                <w:lang w:val="en-US" w:eastAsia="zh-CN"/>
              </w:rPr>
              <w:t>4</w:t>
            </w:r>
            <w:r>
              <w:rPr>
                <w:rFonts w:hint="eastAsia" w:ascii="宋体" w:hAnsi="宋体" w:eastAsia="宋体" w:cs="宋体"/>
                <w:color w:val="auto"/>
                <w:szCs w:val="21"/>
                <w:highlight w:val="none"/>
                <w:u w:val="single"/>
              </w:rPr>
              <w:t>万平方</w:t>
            </w:r>
            <w:r>
              <w:rPr>
                <w:rFonts w:hint="eastAsia" w:ascii="宋体" w:hAnsi="宋体" w:eastAsia="宋体" w:cs="宋体"/>
                <w:color w:val="auto"/>
                <w:szCs w:val="21"/>
                <w:highlight w:val="none"/>
                <w:u w:val="single"/>
                <w:lang w:val="en-US" w:eastAsia="zh-CN"/>
              </w:rPr>
              <w:t>米</w:t>
            </w:r>
            <w:r>
              <w:rPr>
                <w:rFonts w:hint="eastAsia" w:ascii="宋体" w:hAnsi="宋体" w:eastAsia="宋体" w:cs="宋体"/>
                <w:color w:val="auto"/>
                <w:szCs w:val="21"/>
                <w:highlight w:val="none"/>
                <w:u w:val="single"/>
              </w:rPr>
              <w:t>或以上项目(指写字楼项目)，每个项目得</w:t>
            </w:r>
            <w:r>
              <w:rPr>
                <w:rFonts w:hint="eastAsia" w:ascii="宋体" w:hAnsi="宋体" w:eastAsia="宋体" w:cs="宋体"/>
                <w:color w:val="auto"/>
                <w:szCs w:val="21"/>
                <w:highlight w:val="none"/>
                <w:u w:val="single"/>
                <w:lang w:val="en-US" w:eastAsia="zh-CN"/>
              </w:rPr>
              <w:t>0.5</w:t>
            </w:r>
            <w:r>
              <w:rPr>
                <w:rFonts w:hint="eastAsia" w:ascii="宋体" w:hAnsi="宋体" w:eastAsia="宋体" w:cs="宋体"/>
                <w:color w:val="auto"/>
                <w:szCs w:val="21"/>
                <w:highlight w:val="none"/>
                <w:u w:val="single"/>
              </w:rPr>
              <w:t>分，最高得</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u w:val="single"/>
              </w:rPr>
              <w:t>分。</w:t>
            </w:r>
          </w:p>
          <w:p w14:paraId="2B3DA793">
            <w:pPr>
              <w:spacing w:line="360" w:lineRule="auto"/>
              <w:rPr>
                <w:rFonts w:hint="eastAsia" w:ascii="宋体" w:hAnsi="宋体" w:eastAsia="宋体" w:cs="宋体"/>
                <w:color w:val="auto"/>
                <w:szCs w:val="21"/>
                <w:highlight w:val="none"/>
                <w:u w:val="single"/>
                <w:lang w:eastAsia="zh-CN"/>
              </w:rPr>
            </w:pPr>
            <w:r>
              <w:rPr>
                <w:rFonts w:hint="eastAsia" w:ascii="宋体" w:hAnsi="宋体" w:eastAsia="宋体" w:cs="宋体"/>
                <w:color w:val="auto"/>
                <w:szCs w:val="21"/>
                <w:highlight w:val="none"/>
                <w:u w:val="single"/>
              </w:rPr>
              <w:t>2、项目团队人员</w:t>
            </w:r>
          </w:p>
          <w:p w14:paraId="1674C7D4">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（1）项目团队成员具有5年或以上行业经验的人员，每个得</w:t>
            </w:r>
            <w:r>
              <w:rPr>
                <w:rFonts w:hint="eastAsia" w:ascii="宋体" w:hAnsi="宋体" w:eastAsia="宋体" w:cs="宋体"/>
                <w:color w:val="auto"/>
                <w:szCs w:val="21"/>
                <w:highlight w:val="none"/>
                <w:u w:val="single"/>
                <w:lang w:val="en-US" w:eastAsia="zh-CN"/>
              </w:rPr>
              <w:t>1</w:t>
            </w:r>
            <w:r>
              <w:rPr>
                <w:rFonts w:hint="eastAsia" w:ascii="宋体" w:hAnsi="宋体" w:eastAsia="宋体" w:cs="宋体"/>
                <w:color w:val="auto"/>
                <w:szCs w:val="21"/>
                <w:highlight w:val="none"/>
                <w:u w:val="single"/>
              </w:rPr>
              <w:t>分，最高得</w:t>
            </w:r>
            <w:r>
              <w:rPr>
                <w:rFonts w:hint="eastAsia" w:ascii="宋体" w:hAnsi="宋体" w:eastAsia="宋体" w:cs="宋体"/>
                <w:color w:val="auto"/>
                <w:szCs w:val="21"/>
                <w:highlight w:val="none"/>
                <w:u w:val="single"/>
                <w:lang w:val="en-US" w:eastAsia="zh-CN"/>
              </w:rPr>
              <w:t>6</w:t>
            </w:r>
            <w:r>
              <w:rPr>
                <w:rFonts w:hint="eastAsia" w:ascii="宋体" w:hAnsi="宋体" w:eastAsia="宋体" w:cs="宋体"/>
                <w:color w:val="auto"/>
                <w:szCs w:val="21"/>
                <w:highlight w:val="none"/>
                <w:u w:val="single"/>
              </w:rPr>
              <w:t>分；</w:t>
            </w:r>
          </w:p>
          <w:p w14:paraId="7BC4D187">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（2）项目团队成员专业背景具有建筑学、房地产经营与管理、城市规划、资产/房地产/土地评估、金融学、工商管理等其中一个专业，按成员人数计每个得</w:t>
            </w:r>
            <w:r>
              <w:rPr>
                <w:rFonts w:hint="eastAsia" w:ascii="宋体" w:hAnsi="宋体" w:eastAsia="宋体" w:cs="宋体"/>
                <w:color w:val="auto"/>
                <w:szCs w:val="21"/>
                <w:highlight w:val="none"/>
                <w:u w:val="single"/>
                <w:lang w:val="en-US" w:eastAsia="zh-CN"/>
              </w:rPr>
              <w:t>0.5</w:t>
            </w:r>
            <w:r>
              <w:rPr>
                <w:rFonts w:hint="eastAsia" w:ascii="宋体" w:hAnsi="宋体" w:eastAsia="宋体" w:cs="宋体"/>
                <w:color w:val="auto"/>
                <w:szCs w:val="21"/>
                <w:highlight w:val="none"/>
                <w:u w:val="single"/>
              </w:rPr>
              <w:t>分，最高得2分；</w:t>
            </w:r>
          </w:p>
          <w:p w14:paraId="7D57C6D4">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rPr>
              <w:t>注：</w:t>
            </w:r>
          </w:p>
          <w:p w14:paraId="2054DB84">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lang w:val="en-US" w:eastAsia="zh-CN"/>
              </w:rPr>
              <w:t>1</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rPr>
              <w:t>项目总负责人工作经验要求提供毕业证书（须包含建筑学、房地产经营与管理、城市规划、资产/房地产/土地评估、金融学、工商管理等其中一个专业）及投标截止时间近</w:t>
            </w:r>
            <w:r>
              <w:rPr>
                <w:rFonts w:hint="eastAsia" w:ascii="宋体" w:hAnsi="宋体" w:eastAsia="宋体" w:cs="宋体"/>
                <w:color w:val="auto"/>
                <w:szCs w:val="21"/>
                <w:highlight w:val="none"/>
                <w:u w:val="single"/>
                <w:lang w:val="en-US" w:eastAsia="zh-CN"/>
              </w:rPr>
              <w:t>一</w:t>
            </w:r>
            <w:r>
              <w:rPr>
                <w:rFonts w:hint="eastAsia" w:ascii="宋体" w:hAnsi="宋体" w:eastAsia="宋体" w:cs="宋体"/>
                <w:color w:val="auto"/>
                <w:szCs w:val="21"/>
                <w:highlight w:val="none"/>
                <w:u w:val="single"/>
              </w:rPr>
              <w:t>个月（2025年</w:t>
            </w:r>
            <w:r>
              <w:rPr>
                <w:rFonts w:hint="eastAsia" w:ascii="宋体" w:hAnsi="宋体" w:eastAsia="宋体" w:cs="宋体"/>
                <w:color w:val="auto"/>
                <w:szCs w:val="21"/>
                <w:highlight w:val="none"/>
                <w:u w:val="single"/>
                <w:lang w:val="en-US" w:eastAsia="zh-CN"/>
              </w:rPr>
              <w:t>10</w:t>
            </w:r>
            <w:r>
              <w:rPr>
                <w:rFonts w:hint="eastAsia" w:ascii="宋体" w:hAnsi="宋体" w:eastAsia="宋体" w:cs="宋体"/>
                <w:color w:val="auto"/>
                <w:szCs w:val="21"/>
                <w:highlight w:val="none"/>
                <w:u w:val="single"/>
              </w:rPr>
              <w:t>月）社保证明（或劳动合同）；</w:t>
            </w:r>
          </w:p>
          <w:p w14:paraId="148ECEEC">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lang w:val="en-US" w:eastAsia="zh-CN"/>
              </w:rPr>
              <w:t>2</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rPr>
              <w:t>项目总负责人业绩要求提供项目简介、代理服务合同首页</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lang w:val="en-US" w:eastAsia="zh-CN"/>
              </w:rPr>
              <w:t>合同签订时间</w:t>
            </w:r>
            <w:r>
              <w:rPr>
                <w:rFonts w:hint="eastAsia" w:ascii="宋体" w:hAnsi="宋体" w:eastAsia="宋体" w:cs="宋体"/>
                <w:color w:val="auto"/>
                <w:szCs w:val="21"/>
                <w:highlight w:val="none"/>
                <w:u w:val="single"/>
              </w:rPr>
              <w:t>及盖章页复印件等（须有项目负责人签字或盖章页能体现出项目负责人信息）</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lang w:val="en-US" w:eastAsia="zh-CN"/>
              </w:rPr>
              <w:t>时间以合同签订时间为准</w:t>
            </w:r>
            <w:r>
              <w:rPr>
                <w:rFonts w:hint="eastAsia" w:ascii="宋体" w:hAnsi="宋体" w:eastAsia="宋体" w:cs="宋体"/>
                <w:color w:val="auto"/>
                <w:szCs w:val="21"/>
                <w:highlight w:val="none"/>
                <w:u w:val="single"/>
                <w:lang w:eastAsia="zh-CN"/>
              </w:rPr>
              <w:t>（附合同主要页复印件）</w:t>
            </w:r>
            <w:r>
              <w:rPr>
                <w:rFonts w:hint="eastAsia" w:ascii="宋体" w:hAnsi="宋体" w:eastAsia="宋体" w:cs="宋体"/>
                <w:color w:val="auto"/>
                <w:szCs w:val="21"/>
                <w:highlight w:val="none"/>
                <w:u w:val="single"/>
              </w:rPr>
              <w:t>；</w:t>
            </w:r>
          </w:p>
          <w:p w14:paraId="397355BC">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lang w:val="en-US" w:eastAsia="zh-CN"/>
              </w:rPr>
              <w:t>3</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rPr>
              <w:t>具专业背景的项目团队人员要求提供毕业证书及投标截止时间近</w:t>
            </w:r>
            <w:r>
              <w:rPr>
                <w:rFonts w:hint="eastAsia" w:ascii="宋体" w:hAnsi="宋体" w:eastAsia="宋体" w:cs="宋体"/>
                <w:color w:val="auto"/>
                <w:szCs w:val="21"/>
                <w:highlight w:val="none"/>
                <w:u w:val="single"/>
                <w:lang w:eastAsia="zh-CN"/>
              </w:rPr>
              <w:t>一</w:t>
            </w:r>
            <w:r>
              <w:rPr>
                <w:rFonts w:hint="eastAsia" w:ascii="宋体" w:hAnsi="宋体" w:eastAsia="宋体" w:cs="宋体"/>
                <w:color w:val="auto"/>
                <w:szCs w:val="21"/>
                <w:highlight w:val="none"/>
                <w:u w:val="single"/>
              </w:rPr>
              <w:t>个月（2025年</w:t>
            </w:r>
            <w:r>
              <w:rPr>
                <w:rFonts w:hint="eastAsia" w:ascii="宋体" w:hAnsi="宋体" w:eastAsia="宋体" w:cs="宋体"/>
                <w:color w:val="auto"/>
                <w:szCs w:val="21"/>
                <w:highlight w:val="none"/>
                <w:u w:val="single"/>
                <w:lang w:val="en-US" w:eastAsia="zh-CN"/>
              </w:rPr>
              <w:t>10</w:t>
            </w:r>
            <w:r>
              <w:rPr>
                <w:rFonts w:hint="eastAsia" w:ascii="宋体" w:hAnsi="宋体" w:eastAsia="宋体" w:cs="宋体"/>
                <w:color w:val="auto"/>
                <w:szCs w:val="21"/>
                <w:highlight w:val="none"/>
                <w:u w:val="single"/>
              </w:rPr>
              <w:t>月）社保证明（或劳动合同）；</w:t>
            </w:r>
          </w:p>
          <w:p w14:paraId="6829884E">
            <w:pPr>
              <w:spacing w:line="360" w:lineRule="auto"/>
              <w:rPr>
                <w:rFonts w:hint="eastAsia" w:ascii="宋体" w:hAnsi="宋体" w:eastAsia="宋体" w:cs="宋体"/>
                <w:color w:val="auto"/>
                <w:szCs w:val="21"/>
                <w:highlight w:val="none"/>
                <w:u w:val="single"/>
              </w:rPr>
            </w:pP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lang w:val="en-US" w:eastAsia="zh-CN"/>
              </w:rPr>
              <w:t>4</w:t>
            </w:r>
            <w:r>
              <w:rPr>
                <w:rFonts w:hint="eastAsia" w:ascii="宋体" w:hAnsi="宋体" w:eastAsia="宋体" w:cs="宋体"/>
                <w:color w:val="auto"/>
                <w:szCs w:val="21"/>
                <w:highlight w:val="none"/>
                <w:u w:val="single"/>
                <w:lang w:eastAsia="zh-CN"/>
              </w:rPr>
              <w:t>）</w:t>
            </w:r>
            <w:r>
              <w:rPr>
                <w:rFonts w:hint="eastAsia" w:ascii="宋体" w:hAnsi="宋体" w:eastAsia="宋体" w:cs="宋体"/>
                <w:color w:val="auto"/>
                <w:szCs w:val="21"/>
                <w:highlight w:val="none"/>
                <w:u w:val="single"/>
              </w:rPr>
              <w:t>行业工作经验根据签署的代理服务合同、租售成交相关文件、</w:t>
            </w:r>
            <w:r>
              <w:rPr>
                <w:rFonts w:hint="eastAsia" w:ascii="宋体" w:hAnsi="宋体" w:eastAsia="宋体" w:cs="宋体"/>
                <w:color w:val="auto"/>
                <w:szCs w:val="21"/>
                <w:highlight w:val="none"/>
                <w:u w:val="single"/>
                <w:lang w:val="en-US" w:eastAsia="zh-CN"/>
              </w:rPr>
              <w:t>毕业证、</w:t>
            </w:r>
            <w:r>
              <w:rPr>
                <w:rFonts w:hint="eastAsia" w:ascii="宋体" w:hAnsi="宋体" w:eastAsia="宋体" w:cs="宋体"/>
                <w:color w:val="auto"/>
                <w:szCs w:val="21"/>
                <w:highlight w:val="none"/>
                <w:u w:val="single"/>
              </w:rPr>
              <w:t>任职租售代理企业的社保记录等资料由评委判断。</w:t>
            </w:r>
          </w:p>
        </w:tc>
      </w:tr>
      <w:tr w14:paraId="74BBD23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61" w:hRule="atLeast"/>
          <w:jc w:val="center"/>
        </w:trPr>
        <w:tc>
          <w:tcPr>
            <w:tcW w:w="330" w:type="pct"/>
            <w:vMerge w:val="restart"/>
            <w:noWrap w:val="0"/>
            <w:vAlign w:val="center"/>
          </w:tcPr>
          <w:p w14:paraId="321435E0">
            <w:pPr>
              <w:spacing w:line="360" w:lineRule="auto"/>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1.3</w:t>
            </w:r>
          </w:p>
        </w:tc>
        <w:tc>
          <w:tcPr>
            <w:tcW w:w="522" w:type="pct"/>
            <w:vMerge w:val="restart"/>
            <w:noWrap w:val="0"/>
            <w:vAlign w:val="center"/>
          </w:tcPr>
          <w:p w14:paraId="70FBA408">
            <w:pPr>
              <w:spacing w:line="360" w:lineRule="auto"/>
              <w:jc w:val="center"/>
              <w:rPr>
                <w:rFonts w:ascii="宋体" w:hAnsi="宋体" w:eastAsia="宋体" w:cs="宋体"/>
                <w:color w:val="auto"/>
                <w:spacing w:val="8"/>
                <w:szCs w:val="21"/>
                <w:highlight w:val="none"/>
              </w:rPr>
            </w:pPr>
            <w:r>
              <w:rPr>
                <w:rFonts w:hint="eastAsia" w:ascii="宋体" w:hAnsi="宋体" w:eastAsia="宋体" w:cs="宋体"/>
                <w:color w:val="auto"/>
                <w:szCs w:val="21"/>
                <w:highlight w:val="none"/>
              </w:rPr>
              <w:t>增值服务及承诺</w:t>
            </w:r>
          </w:p>
        </w:tc>
        <w:tc>
          <w:tcPr>
            <w:tcW w:w="217" w:type="pct"/>
            <w:vMerge w:val="restart"/>
            <w:noWrap w:val="0"/>
            <w:vAlign w:val="center"/>
          </w:tcPr>
          <w:p w14:paraId="184C5834">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29" w:type="pct"/>
            <w:noWrap w:val="0"/>
            <w:vAlign w:val="center"/>
          </w:tcPr>
          <w:p w14:paraId="4849042F">
            <w:pPr>
              <w:spacing w:line="360" w:lineRule="auto"/>
              <w:rPr>
                <w:rFonts w:ascii="宋体" w:hAnsi="宋体" w:eastAsia="宋体" w:cs="宋体"/>
                <w:color w:val="auto"/>
                <w:szCs w:val="21"/>
                <w:highlight w:val="none"/>
              </w:rPr>
            </w:pPr>
            <w:r>
              <w:rPr>
                <w:rFonts w:ascii="宋体" w:hAnsi="宋体" w:eastAsia="宋体" w:cs="宋体"/>
                <w:color w:val="auto"/>
                <w:szCs w:val="21"/>
                <w:highlight w:val="none"/>
              </w:rPr>
              <w:t>1.除响应招标文件工作任务书中内容外，投标人所承诺免费提供的增值/额外服务对促进本项目营销/租务工作成功开展、物业资产管理策略等有积极效用的，每一项得1分；</w:t>
            </w:r>
          </w:p>
          <w:p w14:paraId="68769613">
            <w:pPr>
              <w:spacing w:line="360" w:lineRule="auto"/>
              <w:rPr>
                <w:rFonts w:ascii="宋体" w:hAnsi="宋体" w:eastAsia="宋体" w:cs="宋体"/>
                <w:color w:val="auto"/>
                <w:szCs w:val="21"/>
                <w:highlight w:val="none"/>
              </w:rPr>
            </w:pPr>
            <w:r>
              <w:rPr>
                <w:rFonts w:hint="eastAsia" w:ascii="宋体" w:hAnsi="宋体" w:eastAsia="宋体" w:cs="宋体"/>
                <w:color w:val="auto"/>
                <w:szCs w:val="21"/>
                <w:highlight w:val="none"/>
                <w:lang w:val="en-US" w:eastAsia="zh-CN"/>
              </w:rPr>
              <w:t>2</w:t>
            </w:r>
            <w:r>
              <w:rPr>
                <w:rFonts w:ascii="宋体" w:hAnsi="宋体" w:eastAsia="宋体" w:cs="宋体"/>
                <w:color w:val="auto"/>
                <w:szCs w:val="21"/>
                <w:highlight w:val="none"/>
              </w:rPr>
              <w:t>.除响应招标文件工作任务书中内容外，不</w:t>
            </w:r>
            <w:r>
              <w:rPr>
                <w:rFonts w:hint="eastAsia" w:ascii="宋体" w:hAnsi="宋体" w:eastAsia="宋体" w:cs="宋体"/>
                <w:color w:val="auto"/>
                <w:szCs w:val="21"/>
                <w:highlight w:val="none"/>
                <w:lang w:val="en-US" w:eastAsia="zh-CN"/>
              </w:rPr>
              <w:t>承诺提供</w:t>
            </w:r>
            <w:r>
              <w:rPr>
                <w:rFonts w:ascii="宋体" w:hAnsi="宋体" w:eastAsia="宋体" w:cs="宋体"/>
                <w:color w:val="auto"/>
                <w:szCs w:val="21"/>
                <w:highlight w:val="none"/>
              </w:rPr>
              <w:t>增值/额外服务，得0分。</w:t>
            </w:r>
          </w:p>
          <w:p w14:paraId="402F56F5">
            <w:pPr>
              <w:spacing w:line="360" w:lineRule="auto"/>
              <w:rPr>
                <w:rFonts w:ascii="宋体" w:hAnsi="宋体" w:cs="宋体"/>
                <w:bCs/>
                <w:color w:val="auto"/>
                <w:szCs w:val="21"/>
                <w:highlight w:val="none"/>
                <w:u w:val="single"/>
              </w:rPr>
            </w:pPr>
            <w:r>
              <w:rPr>
                <w:rFonts w:ascii="宋体" w:hAnsi="宋体" w:eastAsia="宋体" w:cs="宋体"/>
                <w:color w:val="auto"/>
                <w:szCs w:val="21"/>
                <w:highlight w:val="none"/>
              </w:rPr>
              <w:t>本项最多得2分，最低得0分。</w:t>
            </w:r>
          </w:p>
        </w:tc>
      </w:tr>
      <w:tr w14:paraId="3B477D8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04" w:hRule="atLeast"/>
          <w:jc w:val="center"/>
        </w:trPr>
        <w:tc>
          <w:tcPr>
            <w:tcW w:w="330" w:type="pct"/>
            <w:noWrap w:val="0"/>
            <w:vAlign w:val="center"/>
          </w:tcPr>
          <w:p w14:paraId="1EFD21BE">
            <w:pPr>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二</w:t>
            </w:r>
          </w:p>
        </w:tc>
        <w:tc>
          <w:tcPr>
            <w:tcW w:w="522" w:type="pct"/>
            <w:noWrap w:val="0"/>
            <w:vAlign w:val="center"/>
          </w:tcPr>
          <w:p w14:paraId="41D64F06">
            <w:pPr>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技术部分</w:t>
            </w:r>
          </w:p>
        </w:tc>
        <w:tc>
          <w:tcPr>
            <w:tcW w:w="217" w:type="pct"/>
            <w:noWrap w:val="0"/>
            <w:vAlign w:val="center"/>
          </w:tcPr>
          <w:p w14:paraId="623B4738">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lang w:val="en-US" w:eastAsia="zh-CN"/>
              </w:rPr>
              <w:t>4</w:t>
            </w:r>
            <w:r>
              <w:rPr>
                <w:rFonts w:hint="eastAsia" w:ascii="宋体" w:hAnsi="宋体" w:eastAsia="宋体" w:cs="宋体"/>
                <w:color w:val="auto"/>
                <w:szCs w:val="21"/>
                <w:highlight w:val="none"/>
              </w:rPr>
              <w:t>0</w:t>
            </w:r>
          </w:p>
        </w:tc>
        <w:tc>
          <w:tcPr>
            <w:tcW w:w="3929" w:type="pct"/>
            <w:noWrap w:val="0"/>
            <w:vAlign w:val="center"/>
          </w:tcPr>
          <w:p w14:paraId="195B0262">
            <w:pPr>
              <w:adjustRightInd w:val="0"/>
              <w:snapToGrid w:val="0"/>
              <w:spacing w:line="360" w:lineRule="auto"/>
              <w:jc w:val="center"/>
              <w:rPr>
                <w:rFonts w:ascii="宋体" w:hAnsi="宋体" w:eastAsia="宋体" w:cs="宋体"/>
                <w:color w:val="auto"/>
                <w:szCs w:val="21"/>
                <w:highlight w:val="none"/>
              </w:rPr>
            </w:pPr>
            <w:r>
              <w:rPr>
                <w:rFonts w:ascii="宋体" w:hAnsi="宋体" w:eastAsia="宋体" w:cs="宋体"/>
                <w:color w:val="auto"/>
                <w:szCs w:val="21"/>
                <w:highlight w:val="none"/>
              </w:rPr>
              <w:t>/</w:t>
            </w:r>
          </w:p>
        </w:tc>
      </w:tr>
      <w:tr w14:paraId="7FAEA24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13" w:hRule="atLeast"/>
          <w:jc w:val="center"/>
        </w:trPr>
        <w:tc>
          <w:tcPr>
            <w:tcW w:w="330" w:type="pct"/>
            <w:noWrap w:val="0"/>
            <w:vAlign w:val="center"/>
          </w:tcPr>
          <w:p w14:paraId="2E0EDB0E">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2.1</w:t>
            </w:r>
          </w:p>
        </w:tc>
        <w:tc>
          <w:tcPr>
            <w:tcW w:w="522" w:type="pct"/>
            <w:noWrap w:val="0"/>
            <w:vAlign w:val="center"/>
          </w:tcPr>
          <w:p w14:paraId="1A4CCED6">
            <w:pPr>
              <w:widowControl/>
              <w:spacing w:line="360" w:lineRule="auto"/>
              <w:jc w:val="center"/>
              <w:rPr>
                <w:rFonts w:hint="eastAsia" w:ascii="宋体" w:hAnsi="宋体" w:eastAsia="宋体" w:cs="宋体"/>
                <w:b/>
                <w:color w:val="auto"/>
                <w:szCs w:val="21"/>
                <w:highlight w:val="none"/>
              </w:rPr>
            </w:pPr>
            <w:r>
              <w:rPr>
                <w:rFonts w:hint="eastAsia" w:ascii="宋体" w:hAnsi="宋体" w:eastAsia="宋体" w:cs="宋体"/>
                <w:color w:val="auto"/>
                <w:kern w:val="0"/>
                <w:szCs w:val="21"/>
                <w:highlight w:val="none"/>
              </w:rPr>
              <w:t>项目租赁方案评审</w:t>
            </w:r>
          </w:p>
        </w:tc>
        <w:tc>
          <w:tcPr>
            <w:tcW w:w="217" w:type="pct"/>
            <w:tcBorders>
              <w:bottom w:val="single" w:color="auto" w:sz="4" w:space="0"/>
            </w:tcBorders>
            <w:noWrap w:val="0"/>
            <w:vAlign w:val="center"/>
          </w:tcPr>
          <w:p w14:paraId="41984ED8">
            <w:pPr>
              <w:widowControl/>
              <w:spacing w:line="360" w:lineRule="auto"/>
              <w:jc w:val="center"/>
              <w:rPr>
                <w:rFonts w:hint="default" w:ascii="黑体" w:hAnsi="Arial" w:eastAsia="等线" w:cs="Arial"/>
                <w:b/>
                <w:color w:val="auto"/>
                <w:sz w:val="24"/>
                <w:szCs w:val="28"/>
                <w:highlight w:val="none"/>
                <w:lang w:val="en-US" w:eastAsia="zh-CN"/>
              </w:rPr>
            </w:pPr>
            <w:r>
              <w:rPr>
                <w:rFonts w:hint="eastAsia" w:ascii="宋体" w:hAnsi="宋体" w:cs="宋体"/>
                <w:color w:val="auto"/>
                <w:kern w:val="0"/>
                <w:sz w:val="20"/>
                <w:szCs w:val="20"/>
                <w:highlight w:val="none"/>
                <w:lang w:val="en-US" w:eastAsia="zh-CN"/>
              </w:rPr>
              <w:t>40</w:t>
            </w:r>
          </w:p>
        </w:tc>
        <w:tc>
          <w:tcPr>
            <w:tcW w:w="3929" w:type="pct"/>
            <w:tcBorders>
              <w:bottom w:val="single" w:color="auto" w:sz="4" w:space="0"/>
            </w:tcBorders>
            <w:noWrap w:val="0"/>
            <w:vAlign w:val="center"/>
          </w:tcPr>
          <w:p w14:paraId="04BCE4C8">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该评分项将从以下四个服务维度进行：</w:t>
            </w:r>
          </w:p>
          <w:p w14:paraId="673E4FAE">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♦整体招商策略（包括不限于：宏观及竞品市场分析、项目定位优化建议、市场切入时机、招商中心和样板间设计规划建议、营销推广建议、目标租户分析、招商思路及进度计划、推货节奏</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rPr>
              <w:t>优质客户及招商进度统筹激励</w:t>
            </w:r>
            <w:r>
              <w:rPr>
                <w:rFonts w:hint="eastAsia" w:ascii="宋体" w:hAnsi="宋体" w:eastAsia="宋体" w:cs="宋体"/>
                <w:color w:val="auto"/>
                <w:kern w:val="0"/>
                <w:szCs w:val="21"/>
                <w:highlight w:val="none"/>
                <w:lang w:val="en-US" w:eastAsia="zh-CN"/>
              </w:rPr>
              <w:t>机制</w:t>
            </w:r>
            <w:r>
              <w:rPr>
                <w:rFonts w:hint="eastAsia" w:ascii="宋体" w:hAnsi="宋体" w:eastAsia="宋体" w:cs="宋体"/>
                <w:color w:val="auto"/>
                <w:kern w:val="0"/>
                <w:szCs w:val="21"/>
                <w:highlight w:val="none"/>
              </w:rPr>
              <w:t>等）。</w:t>
            </w:r>
          </w:p>
          <w:p w14:paraId="3003005F">
            <w:pPr>
              <w:widowControl/>
              <w:spacing w:line="360" w:lineRule="auto"/>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♦租赁价格策略（包括不限于：有效租金均价、租金价表建议、报价及底价策略、免租及优惠政策建议）</w:t>
            </w:r>
            <w:r>
              <w:rPr>
                <w:rFonts w:hint="eastAsia" w:ascii="宋体" w:hAnsi="宋体" w:eastAsia="宋体" w:cs="宋体"/>
                <w:color w:val="auto"/>
                <w:kern w:val="0"/>
                <w:szCs w:val="21"/>
                <w:highlight w:val="none"/>
                <w:lang w:eastAsia="zh-CN"/>
              </w:rPr>
              <w:t>。</w:t>
            </w:r>
          </w:p>
          <w:p w14:paraId="25209DDC">
            <w:pPr>
              <w:widowControl/>
              <w:spacing w:line="360" w:lineRule="auto"/>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♦产品优化和服务建议（包括不限于：写字楼空间优化建议、公区及室内个性装修建议、配套设施建议、户型优化建议、运营服务建议、设备配置建议）</w:t>
            </w:r>
            <w:r>
              <w:rPr>
                <w:rFonts w:hint="eastAsia" w:ascii="宋体" w:hAnsi="宋体" w:eastAsia="宋体" w:cs="宋体"/>
                <w:color w:val="auto"/>
                <w:kern w:val="0"/>
                <w:szCs w:val="21"/>
                <w:highlight w:val="none"/>
                <w:lang w:eastAsia="zh-CN"/>
              </w:rPr>
              <w:t>。</w:t>
            </w:r>
          </w:p>
          <w:p w14:paraId="19875ECA">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♦项目运营测算（包括不限于：</w:t>
            </w:r>
            <w:r>
              <w:rPr>
                <w:rFonts w:hint="eastAsia" w:ascii="宋体" w:hAnsi="宋体" w:eastAsia="宋体" w:cs="宋体"/>
                <w:color w:val="auto"/>
                <w:kern w:val="0"/>
                <w:szCs w:val="21"/>
                <w:highlight w:val="none"/>
                <w:lang w:val="en-US" w:eastAsia="zh-CN"/>
              </w:rPr>
              <w:t>根据投标人的方案测算项目</w:t>
            </w:r>
            <w:r>
              <w:rPr>
                <w:rFonts w:hint="eastAsia" w:ascii="宋体" w:hAnsi="宋体" w:eastAsia="宋体" w:cs="宋体"/>
                <w:color w:val="auto"/>
                <w:kern w:val="0"/>
                <w:szCs w:val="21"/>
                <w:highlight w:val="none"/>
              </w:rPr>
              <w:t>前五年运营期收支</w:t>
            </w:r>
            <w:r>
              <w:rPr>
                <w:rFonts w:hint="eastAsia" w:ascii="宋体" w:hAnsi="宋体" w:eastAsia="宋体" w:cs="宋体"/>
                <w:color w:val="auto"/>
                <w:kern w:val="0"/>
                <w:szCs w:val="21"/>
                <w:highlight w:val="none"/>
                <w:lang w:val="en-US" w:eastAsia="zh-CN"/>
              </w:rPr>
              <w:t>情况等</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eastAsia="zh-CN"/>
              </w:rPr>
              <w:t>。</w:t>
            </w:r>
          </w:p>
          <w:p w14:paraId="301A3527">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优</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lang w:val="en-US" w:eastAsia="zh-CN"/>
              </w:rPr>
              <w:t>得（31</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40）</w:t>
            </w:r>
            <w:r>
              <w:rPr>
                <w:rFonts w:hint="eastAsia" w:ascii="宋体" w:hAnsi="宋体" w:eastAsia="宋体" w:cs="宋体"/>
                <w:b/>
                <w:bCs/>
                <w:color w:val="auto"/>
                <w:kern w:val="0"/>
                <w:szCs w:val="21"/>
                <w:highlight w:val="none"/>
              </w:rPr>
              <w:t>分：</w:t>
            </w:r>
            <w:r>
              <w:rPr>
                <w:rFonts w:hint="eastAsia" w:ascii="宋体" w:hAnsi="宋体" w:eastAsia="宋体" w:cs="宋体"/>
                <w:color w:val="auto"/>
                <w:kern w:val="0"/>
                <w:szCs w:val="21"/>
                <w:highlight w:val="none"/>
              </w:rPr>
              <w:t>整体招商策略：市场评估准确，项目发展定位清晰、合理，对项目核心价值提炼准确，对项目发展理念和目标贴合招标人的目标，客户定位清晰且重点客户拓展计划周详，招商目标符合市场规律，招商执行计划完整且落地操作性强；</w:t>
            </w:r>
          </w:p>
          <w:p w14:paraId="2C50CB47">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制定租赁价格策略：租金体系分析完整、严谨，依据充分，租金相关政策符合市场规律，落地执行性强；</w:t>
            </w:r>
          </w:p>
          <w:p w14:paraId="25FA32E6">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产品优化和服务建议：投标人建议具备独到见解，符合项目定位发展且具备前瞻性；</w:t>
            </w:r>
          </w:p>
          <w:p w14:paraId="2956D63C">
            <w:pPr>
              <w:widowControl/>
              <w:spacing w:line="360" w:lineRule="auto"/>
              <w:rPr>
                <w:rFonts w:hint="eastAsia" w:ascii="宋体" w:hAnsi="宋体" w:eastAsia="宋体" w:cs="宋体"/>
                <w:b/>
                <w:bCs/>
                <w:color w:val="auto"/>
                <w:kern w:val="0"/>
                <w:szCs w:val="21"/>
                <w:highlight w:val="none"/>
              </w:rPr>
            </w:pPr>
            <w:r>
              <w:rPr>
                <w:rFonts w:hint="eastAsia" w:ascii="宋体" w:hAnsi="宋体" w:eastAsia="宋体" w:cs="宋体"/>
                <w:color w:val="auto"/>
                <w:kern w:val="0"/>
                <w:szCs w:val="21"/>
                <w:highlight w:val="none"/>
              </w:rPr>
              <w:t>项目运营测算：指标分析完整、严谨，取费依据充分、准确，并基于准确的市场评估及对项目发展定位的合理预判，确保测算的合理性与可行性</w:t>
            </w:r>
            <w:r>
              <w:rPr>
                <w:rFonts w:hint="eastAsia" w:ascii="宋体" w:hAnsi="宋体" w:eastAsia="宋体" w:cs="宋体"/>
                <w:color w:val="auto"/>
                <w:kern w:val="0"/>
                <w:szCs w:val="21"/>
                <w:highlight w:val="none"/>
                <w:lang w:eastAsia="zh-CN"/>
              </w:rPr>
              <w:t>。</w:t>
            </w:r>
          </w:p>
          <w:p w14:paraId="0C06D951">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良</w:t>
            </w:r>
            <w:r>
              <w:rPr>
                <w:rFonts w:hint="eastAsia" w:ascii="宋体" w:hAnsi="宋体" w:eastAsia="宋体" w:cs="宋体"/>
                <w:b/>
                <w:bCs/>
                <w:color w:val="auto"/>
                <w:kern w:val="0"/>
                <w:szCs w:val="21"/>
                <w:highlight w:val="none"/>
                <w:lang w:eastAsia="zh-CN"/>
              </w:rPr>
              <w:t>，</w:t>
            </w:r>
            <w:r>
              <w:rPr>
                <w:rFonts w:hint="eastAsia" w:ascii="宋体" w:hAnsi="宋体" w:eastAsia="宋体" w:cs="宋体"/>
                <w:b/>
                <w:bCs/>
                <w:color w:val="auto"/>
                <w:kern w:val="0"/>
                <w:szCs w:val="21"/>
                <w:highlight w:val="none"/>
              </w:rPr>
              <w:t>得（</w:t>
            </w:r>
            <w:r>
              <w:rPr>
                <w:rFonts w:hint="eastAsia" w:ascii="宋体" w:hAnsi="宋体" w:eastAsia="宋体" w:cs="宋体"/>
                <w:b/>
                <w:bCs/>
                <w:color w:val="auto"/>
                <w:kern w:val="0"/>
                <w:szCs w:val="21"/>
                <w:highlight w:val="none"/>
                <w:lang w:val="en-US" w:eastAsia="zh-CN"/>
              </w:rPr>
              <w:t>21</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30</w:t>
            </w:r>
            <w:r>
              <w:rPr>
                <w:rFonts w:hint="eastAsia" w:ascii="宋体" w:hAnsi="宋体" w:eastAsia="宋体" w:cs="宋体"/>
                <w:b/>
                <w:bCs/>
                <w:color w:val="auto"/>
                <w:kern w:val="0"/>
                <w:szCs w:val="21"/>
                <w:highlight w:val="none"/>
              </w:rPr>
              <w:t>）分：</w:t>
            </w:r>
            <w:r>
              <w:rPr>
                <w:rFonts w:hint="eastAsia" w:ascii="宋体" w:hAnsi="宋体" w:eastAsia="宋体" w:cs="宋体"/>
                <w:color w:val="auto"/>
                <w:kern w:val="0"/>
                <w:szCs w:val="21"/>
                <w:highlight w:val="none"/>
              </w:rPr>
              <w:t>整体招商策略：市场评估</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准确，项目发展定位</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清晰、合理，对项目核心价值提炼</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准确，对项目发展理念和目标贴合招标人的目标，客户定位</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清晰且重点客户拓展计划</w:t>
            </w:r>
            <w:r>
              <w:rPr>
                <w:rFonts w:hint="eastAsia" w:ascii="宋体" w:hAnsi="宋体" w:eastAsia="宋体" w:cs="宋体"/>
                <w:color w:val="auto"/>
                <w:kern w:val="0"/>
                <w:szCs w:val="21"/>
                <w:highlight w:val="none"/>
                <w:lang w:val="en-US" w:eastAsia="zh-CN"/>
              </w:rPr>
              <w:t>基本完整</w:t>
            </w:r>
            <w:r>
              <w:rPr>
                <w:rFonts w:hint="eastAsia" w:ascii="宋体" w:hAnsi="宋体" w:eastAsia="宋体" w:cs="宋体"/>
                <w:color w:val="auto"/>
                <w:kern w:val="0"/>
                <w:szCs w:val="21"/>
                <w:highlight w:val="none"/>
              </w:rPr>
              <w:t>，招商目标</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符合市场规律，招商执行计划</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完整且落地操作性</w:t>
            </w:r>
            <w:r>
              <w:rPr>
                <w:rFonts w:hint="eastAsia" w:ascii="宋体" w:hAnsi="宋体" w:eastAsia="宋体" w:cs="宋体"/>
                <w:color w:val="auto"/>
                <w:kern w:val="0"/>
                <w:szCs w:val="21"/>
                <w:highlight w:val="none"/>
                <w:lang w:val="en-US" w:eastAsia="zh-CN"/>
              </w:rPr>
              <w:t>较</w:t>
            </w:r>
            <w:r>
              <w:rPr>
                <w:rFonts w:hint="eastAsia" w:ascii="宋体" w:hAnsi="宋体" w:eastAsia="宋体" w:cs="宋体"/>
                <w:color w:val="auto"/>
                <w:kern w:val="0"/>
                <w:szCs w:val="21"/>
                <w:highlight w:val="none"/>
              </w:rPr>
              <w:t>强；</w:t>
            </w:r>
          </w:p>
          <w:p w14:paraId="434B2504">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制定租赁价格策略：租金体系分析</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完整、严谨，依据</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充分，租金相关政策</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符合市场规律，落地执行性</w:t>
            </w:r>
            <w:r>
              <w:rPr>
                <w:rFonts w:hint="eastAsia" w:ascii="宋体" w:hAnsi="宋体" w:eastAsia="宋体" w:cs="宋体"/>
                <w:color w:val="auto"/>
                <w:kern w:val="0"/>
                <w:szCs w:val="21"/>
                <w:highlight w:val="none"/>
                <w:lang w:val="en-US" w:eastAsia="zh-CN"/>
              </w:rPr>
              <w:t>较</w:t>
            </w:r>
            <w:r>
              <w:rPr>
                <w:rFonts w:hint="eastAsia" w:ascii="宋体" w:hAnsi="宋体" w:eastAsia="宋体" w:cs="宋体"/>
                <w:color w:val="auto"/>
                <w:kern w:val="0"/>
                <w:szCs w:val="21"/>
                <w:highlight w:val="none"/>
              </w:rPr>
              <w:t>强；</w:t>
            </w:r>
          </w:p>
          <w:p w14:paraId="7D1B16EA">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产品优化和服务建议：投标人建议具备独到见解，</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符合项目定位发展且具备前瞻性；</w:t>
            </w:r>
          </w:p>
          <w:p w14:paraId="05302061">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项目运营测算：指标分析</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完整、严谨，取费依据</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充分、准确，并基于准确的市场评估及对项目发展定位的合理预判，</w:t>
            </w:r>
            <w:r>
              <w:rPr>
                <w:rFonts w:hint="eastAsia" w:ascii="宋体" w:hAnsi="宋体" w:eastAsia="宋体" w:cs="宋体"/>
                <w:color w:val="auto"/>
                <w:kern w:val="0"/>
                <w:szCs w:val="21"/>
                <w:highlight w:val="none"/>
                <w:lang w:val="en-US" w:eastAsia="zh-CN"/>
              </w:rPr>
              <w:t>基本能</w:t>
            </w:r>
            <w:r>
              <w:rPr>
                <w:rFonts w:hint="eastAsia" w:ascii="宋体" w:hAnsi="宋体" w:eastAsia="宋体" w:cs="宋体"/>
                <w:color w:val="auto"/>
                <w:kern w:val="0"/>
                <w:szCs w:val="21"/>
                <w:highlight w:val="none"/>
              </w:rPr>
              <w:t>确保测算的合理性与可行性。</w:t>
            </w:r>
          </w:p>
          <w:p w14:paraId="1877049F">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lang w:val="en-US" w:eastAsia="zh-CN"/>
              </w:rPr>
              <w:t>中，得（11-20）分：</w:t>
            </w:r>
            <w:r>
              <w:rPr>
                <w:rFonts w:hint="eastAsia" w:ascii="宋体" w:hAnsi="宋体" w:eastAsia="宋体" w:cs="宋体"/>
                <w:color w:val="auto"/>
                <w:kern w:val="0"/>
                <w:szCs w:val="21"/>
                <w:highlight w:val="none"/>
              </w:rPr>
              <w:t>整体招商策略：市场评估准确</w:t>
            </w:r>
            <w:r>
              <w:rPr>
                <w:rFonts w:hint="eastAsia" w:ascii="宋体" w:hAnsi="宋体" w:eastAsia="宋体" w:cs="宋体"/>
                <w:color w:val="auto"/>
                <w:kern w:val="0"/>
                <w:szCs w:val="21"/>
                <w:highlight w:val="none"/>
                <w:lang w:val="en-US" w:eastAsia="zh-CN"/>
              </w:rPr>
              <w:t>度一般</w:t>
            </w:r>
            <w:r>
              <w:rPr>
                <w:rFonts w:hint="eastAsia" w:ascii="宋体" w:hAnsi="宋体" w:eastAsia="宋体" w:cs="宋体"/>
                <w:color w:val="auto"/>
                <w:kern w:val="0"/>
                <w:szCs w:val="21"/>
                <w:highlight w:val="none"/>
              </w:rPr>
              <w:t>，项目发展定位清晰</w:t>
            </w:r>
            <w:r>
              <w:rPr>
                <w:rFonts w:hint="eastAsia" w:ascii="宋体" w:hAnsi="宋体" w:eastAsia="宋体" w:cs="宋体"/>
                <w:color w:val="auto"/>
                <w:kern w:val="0"/>
                <w:szCs w:val="21"/>
                <w:highlight w:val="none"/>
                <w:lang w:val="en-US" w:eastAsia="zh-CN"/>
              </w:rPr>
              <w:t>度</w:t>
            </w:r>
            <w:r>
              <w:rPr>
                <w:rFonts w:hint="eastAsia" w:ascii="宋体" w:hAnsi="宋体" w:eastAsia="宋体" w:cs="宋体"/>
                <w:color w:val="auto"/>
                <w:kern w:val="0"/>
                <w:szCs w:val="21"/>
                <w:highlight w:val="none"/>
              </w:rPr>
              <w:t>、合理</w:t>
            </w:r>
            <w:r>
              <w:rPr>
                <w:rFonts w:hint="eastAsia" w:ascii="宋体" w:hAnsi="宋体" w:eastAsia="宋体" w:cs="宋体"/>
                <w:color w:val="auto"/>
                <w:kern w:val="0"/>
                <w:szCs w:val="21"/>
                <w:highlight w:val="none"/>
                <w:lang w:val="en-US" w:eastAsia="zh-CN"/>
              </w:rPr>
              <w:t>性一般</w:t>
            </w:r>
            <w:r>
              <w:rPr>
                <w:rFonts w:hint="eastAsia" w:ascii="宋体" w:hAnsi="宋体" w:eastAsia="宋体" w:cs="宋体"/>
                <w:color w:val="auto"/>
                <w:kern w:val="0"/>
                <w:szCs w:val="21"/>
                <w:highlight w:val="none"/>
              </w:rPr>
              <w:t>，对项目核心价值提炼</w:t>
            </w:r>
            <w:r>
              <w:rPr>
                <w:rFonts w:hint="eastAsia" w:ascii="宋体" w:hAnsi="宋体" w:eastAsia="宋体" w:cs="宋体"/>
                <w:color w:val="auto"/>
                <w:kern w:val="0"/>
                <w:szCs w:val="21"/>
                <w:highlight w:val="none"/>
                <w:lang w:val="en-US" w:eastAsia="zh-CN"/>
              </w:rPr>
              <w:t>一般</w:t>
            </w:r>
            <w:r>
              <w:rPr>
                <w:rFonts w:hint="eastAsia" w:ascii="宋体" w:hAnsi="宋体" w:eastAsia="宋体" w:cs="宋体"/>
                <w:color w:val="auto"/>
                <w:kern w:val="0"/>
                <w:szCs w:val="21"/>
                <w:highlight w:val="none"/>
              </w:rPr>
              <w:t>，对项目发展理念和目标</w:t>
            </w:r>
            <w:r>
              <w:rPr>
                <w:rFonts w:hint="eastAsia" w:ascii="宋体" w:hAnsi="宋体" w:eastAsia="宋体" w:cs="宋体"/>
                <w:color w:val="auto"/>
                <w:kern w:val="0"/>
                <w:szCs w:val="21"/>
                <w:highlight w:val="none"/>
                <w:lang w:val="en-US" w:eastAsia="zh-CN"/>
              </w:rPr>
              <w:t>基本</w:t>
            </w:r>
            <w:r>
              <w:rPr>
                <w:rFonts w:hint="eastAsia" w:ascii="宋体" w:hAnsi="宋体" w:eastAsia="宋体" w:cs="宋体"/>
                <w:color w:val="auto"/>
                <w:kern w:val="0"/>
                <w:szCs w:val="21"/>
                <w:highlight w:val="none"/>
              </w:rPr>
              <w:t>贴合招标人的目标，客户定位</w:t>
            </w:r>
            <w:r>
              <w:rPr>
                <w:rFonts w:hint="eastAsia" w:ascii="宋体" w:hAnsi="宋体" w:eastAsia="宋体" w:cs="宋体"/>
                <w:color w:val="auto"/>
                <w:kern w:val="0"/>
                <w:szCs w:val="21"/>
                <w:highlight w:val="none"/>
                <w:lang w:val="en-US" w:eastAsia="zh-CN"/>
              </w:rPr>
              <w:t>一般</w:t>
            </w:r>
            <w:r>
              <w:rPr>
                <w:rFonts w:hint="eastAsia" w:ascii="宋体" w:hAnsi="宋体" w:eastAsia="宋体" w:cs="宋体"/>
                <w:color w:val="auto"/>
                <w:kern w:val="0"/>
                <w:szCs w:val="21"/>
                <w:highlight w:val="none"/>
              </w:rPr>
              <w:t>且重点客户拓展计划</w:t>
            </w:r>
            <w:r>
              <w:rPr>
                <w:rFonts w:hint="eastAsia" w:ascii="宋体" w:hAnsi="宋体" w:eastAsia="宋体" w:cs="宋体"/>
                <w:color w:val="auto"/>
                <w:kern w:val="0"/>
                <w:szCs w:val="21"/>
                <w:highlight w:val="none"/>
                <w:lang w:val="en-US" w:eastAsia="zh-CN"/>
              </w:rPr>
              <w:t>完整性一般</w:t>
            </w:r>
            <w:r>
              <w:rPr>
                <w:rFonts w:hint="eastAsia" w:ascii="宋体" w:hAnsi="宋体" w:eastAsia="宋体" w:cs="宋体"/>
                <w:color w:val="auto"/>
                <w:kern w:val="0"/>
                <w:szCs w:val="21"/>
                <w:highlight w:val="none"/>
              </w:rPr>
              <w:t>，招商目标</w:t>
            </w:r>
            <w:r>
              <w:rPr>
                <w:rFonts w:hint="eastAsia" w:ascii="宋体" w:hAnsi="宋体" w:eastAsia="宋体" w:cs="宋体"/>
                <w:color w:val="auto"/>
                <w:kern w:val="0"/>
                <w:szCs w:val="21"/>
                <w:highlight w:val="none"/>
                <w:lang w:val="en-US" w:eastAsia="zh-CN"/>
              </w:rPr>
              <w:t>勉强</w:t>
            </w:r>
            <w:r>
              <w:rPr>
                <w:rFonts w:hint="eastAsia" w:ascii="宋体" w:hAnsi="宋体" w:eastAsia="宋体" w:cs="宋体"/>
                <w:color w:val="auto"/>
                <w:kern w:val="0"/>
                <w:szCs w:val="21"/>
                <w:highlight w:val="none"/>
              </w:rPr>
              <w:t>符合市场规律，招商执行计划完整</w:t>
            </w:r>
            <w:r>
              <w:rPr>
                <w:rFonts w:hint="eastAsia" w:ascii="宋体" w:hAnsi="宋体" w:eastAsia="宋体" w:cs="宋体"/>
                <w:color w:val="auto"/>
                <w:kern w:val="0"/>
                <w:szCs w:val="21"/>
                <w:highlight w:val="none"/>
                <w:lang w:val="en-US" w:eastAsia="zh-CN"/>
              </w:rPr>
              <w:t>性</w:t>
            </w:r>
            <w:r>
              <w:rPr>
                <w:rFonts w:hint="eastAsia" w:ascii="宋体" w:hAnsi="宋体" w:eastAsia="宋体" w:cs="宋体"/>
                <w:color w:val="auto"/>
                <w:kern w:val="0"/>
                <w:szCs w:val="21"/>
                <w:highlight w:val="none"/>
              </w:rPr>
              <w:t>且落地操作性</w:t>
            </w:r>
            <w:r>
              <w:rPr>
                <w:rFonts w:hint="eastAsia" w:ascii="宋体" w:hAnsi="宋体" w:eastAsia="宋体" w:cs="宋体"/>
                <w:color w:val="auto"/>
                <w:kern w:val="0"/>
                <w:szCs w:val="21"/>
                <w:highlight w:val="none"/>
                <w:lang w:val="en-US" w:eastAsia="zh-CN"/>
              </w:rPr>
              <w:t>一般</w:t>
            </w:r>
            <w:r>
              <w:rPr>
                <w:rFonts w:hint="eastAsia" w:ascii="宋体" w:hAnsi="宋体" w:eastAsia="宋体" w:cs="宋体"/>
                <w:color w:val="auto"/>
                <w:kern w:val="0"/>
                <w:szCs w:val="21"/>
                <w:highlight w:val="none"/>
              </w:rPr>
              <w:t>；</w:t>
            </w:r>
          </w:p>
          <w:p w14:paraId="43613326">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制定租赁价格策略：租金体系分析完整</w:t>
            </w:r>
            <w:r>
              <w:rPr>
                <w:rFonts w:hint="eastAsia" w:ascii="宋体" w:hAnsi="宋体" w:eastAsia="宋体" w:cs="宋体"/>
                <w:color w:val="auto"/>
                <w:kern w:val="0"/>
                <w:szCs w:val="21"/>
                <w:highlight w:val="none"/>
                <w:lang w:val="en-US" w:eastAsia="zh-CN"/>
              </w:rPr>
              <w:t>性</w:t>
            </w:r>
            <w:r>
              <w:rPr>
                <w:rFonts w:hint="eastAsia" w:ascii="宋体" w:hAnsi="宋体" w:eastAsia="宋体" w:cs="宋体"/>
                <w:color w:val="auto"/>
                <w:kern w:val="0"/>
                <w:szCs w:val="21"/>
                <w:highlight w:val="none"/>
              </w:rPr>
              <w:t>、严谨</w:t>
            </w:r>
            <w:r>
              <w:rPr>
                <w:rFonts w:hint="eastAsia" w:ascii="宋体" w:hAnsi="宋体" w:eastAsia="宋体" w:cs="宋体"/>
                <w:color w:val="auto"/>
                <w:kern w:val="0"/>
                <w:szCs w:val="21"/>
                <w:highlight w:val="none"/>
                <w:lang w:val="en-US" w:eastAsia="zh-CN"/>
              </w:rPr>
              <w:t>性一般</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有</w:t>
            </w:r>
            <w:r>
              <w:rPr>
                <w:rFonts w:hint="eastAsia" w:ascii="宋体" w:hAnsi="宋体" w:eastAsia="宋体" w:cs="宋体"/>
                <w:color w:val="auto"/>
                <w:kern w:val="0"/>
                <w:szCs w:val="21"/>
                <w:highlight w:val="none"/>
              </w:rPr>
              <w:t>依据</w:t>
            </w:r>
            <w:r>
              <w:rPr>
                <w:rFonts w:hint="eastAsia" w:ascii="宋体" w:hAnsi="宋体" w:eastAsia="宋体" w:cs="宋体"/>
                <w:color w:val="auto"/>
                <w:kern w:val="0"/>
                <w:szCs w:val="21"/>
                <w:highlight w:val="none"/>
                <w:lang w:val="en-US" w:eastAsia="zh-CN"/>
              </w:rPr>
              <w:t>但不完整</w:t>
            </w:r>
            <w:r>
              <w:rPr>
                <w:rFonts w:hint="eastAsia" w:ascii="宋体" w:hAnsi="宋体" w:eastAsia="宋体" w:cs="宋体"/>
                <w:color w:val="auto"/>
                <w:kern w:val="0"/>
                <w:szCs w:val="21"/>
                <w:highlight w:val="none"/>
              </w:rPr>
              <w:t>，租金相关政策</w:t>
            </w:r>
            <w:r>
              <w:rPr>
                <w:rFonts w:hint="eastAsia" w:ascii="宋体" w:hAnsi="宋体" w:eastAsia="宋体" w:cs="宋体"/>
                <w:color w:val="auto"/>
                <w:kern w:val="0"/>
                <w:szCs w:val="21"/>
                <w:highlight w:val="none"/>
                <w:lang w:val="en-US" w:eastAsia="zh-CN"/>
              </w:rPr>
              <w:t>勉强</w:t>
            </w:r>
            <w:r>
              <w:rPr>
                <w:rFonts w:hint="eastAsia" w:ascii="宋体" w:hAnsi="宋体" w:eastAsia="宋体" w:cs="宋体"/>
                <w:color w:val="auto"/>
                <w:kern w:val="0"/>
                <w:szCs w:val="21"/>
                <w:highlight w:val="none"/>
              </w:rPr>
              <w:t>符合市场规律，落地执行性</w:t>
            </w:r>
            <w:r>
              <w:rPr>
                <w:rFonts w:hint="eastAsia" w:ascii="宋体" w:hAnsi="宋体" w:eastAsia="宋体" w:cs="宋体"/>
                <w:color w:val="auto"/>
                <w:kern w:val="0"/>
                <w:szCs w:val="21"/>
                <w:highlight w:val="none"/>
                <w:lang w:val="en-US" w:eastAsia="zh-CN"/>
              </w:rPr>
              <w:t>一般</w:t>
            </w:r>
            <w:r>
              <w:rPr>
                <w:rFonts w:hint="eastAsia" w:ascii="宋体" w:hAnsi="宋体" w:eastAsia="宋体" w:cs="宋体"/>
                <w:color w:val="auto"/>
                <w:kern w:val="0"/>
                <w:szCs w:val="21"/>
                <w:highlight w:val="none"/>
              </w:rPr>
              <w:t>；</w:t>
            </w:r>
          </w:p>
          <w:p w14:paraId="4BACAD73">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产品优化和服务建议：投标人建议</w:t>
            </w:r>
            <w:r>
              <w:rPr>
                <w:rFonts w:hint="eastAsia" w:ascii="宋体" w:hAnsi="宋体" w:eastAsia="宋体" w:cs="宋体"/>
                <w:color w:val="auto"/>
                <w:kern w:val="0"/>
                <w:szCs w:val="21"/>
                <w:highlight w:val="none"/>
                <w:lang w:val="en-US" w:eastAsia="zh-CN"/>
              </w:rPr>
              <w:t>一般</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勉强</w:t>
            </w:r>
            <w:r>
              <w:rPr>
                <w:rFonts w:hint="eastAsia" w:ascii="宋体" w:hAnsi="宋体" w:eastAsia="宋体" w:cs="宋体"/>
                <w:color w:val="auto"/>
                <w:kern w:val="0"/>
                <w:szCs w:val="21"/>
                <w:highlight w:val="none"/>
              </w:rPr>
              <w:t>符合项目定位发展且前瞻性</w:t>
            </w:r>
            <w:r>
              <w:rPr>
                <w:rFonts w:hint="eastAsia" w:ascii="宋体" w:hAnsi="宋体" w:eastAsia="宋体" w:cs="宋体"/>
                <w:color w:val="auto"/>
                <w:kern w:val="0"/>
                <w:szCs w:val="21"/>
                <w:highlight w:val="none"/>
                <w:lang w:val="en-US" w:eastAsia="zh-CN"/>
              </w:rPr>
              <w:t>一般</w:t>
            </w:r>
            <w:r>
              <w:rPr>
                <w:rFonts w:hint="eastAsia" w:ascii="宋体" w:hAnsi="宋体" w:eastAsia="宋体" w:cs="宋体"/>
                <w:color w:val="auto"/>
                <w:kern w:val="0"/>
                <w:szCs w:val="21"/>
                <w:highlight w:val="none"/>
              </w:rPr>
              <w:t>；</w:t>
            </w:r>
          </w:p>
          <w:p w14:paraId="758CA1C7">
            <w:pPr>
              <w:widowControl/>
              <w:adjustRightInd/>
              <w:snapToGrid/>
              <w:spacing w:line="240" w:lineRule="auto"/>
              <w:rPr>
                <w:rFonts w:hint="eastAsia" w:ascii="宋体" w:hAnsi="宋体" w:eastAsia="宋体" w:cs="宋体"/>
                <w:b/>
                <w:bCs/>
                <w:color w:val="auto"/>
                <w:kern w:val="0"/>
                <w:szCs w:val="21"/>
                <w:highlight w:val="none"/>
                <w:lang w:val="en-US" w:eastAsia="zh-CN"/>
              </w:rPr>
            </w:pPr>
            <w:r>
              <w:rPr>
                <w:rFonts w:hint="eastAsia" w:ascii="宋体" w:hAnsi="宋体" w:eastAsia="宋体" w:cs="宋体"/>
                <w:color w:val="auto"/>
                <w:kern w:val="0"/>
                <w:szCs w:val="21"/>
                <w:highlight w:val="none"/>
              </w:rPr>
              <w:t>项目运营测算：指标分析完整</w:t>
            </w:r>
            <w:r>
              <w:rPr>
                <w:rFonts w:hint="eastAsia" w:ascii="宋体" w:hAnsi="宋体" w:eastAsia="宋体" w:cs="宋体"/>
                <w:color w:val="auto"/>
                <w:kern w:val="0"/>
                <w:szCs w:val="21"/>
                <w:highlight w:val="none"/>
                <w:lang w:val="en-US" w:eastAsia="zh-CN"/>
              </w:rPr>
              <w:t>性</w:t>
            </w:r>
            <w:r>
              <w:rPr>
                <w:rFonts w:hint="eastAsia" w:ascii="宋体" w:hAnsi="宋体" w:eastAsia="宋体" w:cs="宋体"/>
                <w:color w:val="auto"/>
                <w:kern w:val="0"/>
                <w:szCs w:val="21"/>
                <w:highlight w:val="none"/>
              </w:rPr>
              <w:t>、严谨</w:t>
            </w:r>
            <w:r>
              <w:rPr>
                <w:rFonts w:hint="eastAsia" w:ascii="宋体" w:hAnsi="宋体" w:eastAsia="宋体" w:cs="宋体"/>
                <w:color w:val="auto"/>
                <w:kern w:val="0"/>
                <w:szCs w:val="21"/>
                <w:highlight w:val="none"/>
                <w:lang w:val="en-US" w:eastAsia="zh-CN"/>
              </w:rPr>
              <w:t>性一般</w:t>
            </w:r>
            <w:r>
              <w:rPr>
                <w:rFonts w:hint="eastAsia" w:ascii="宋体" w:hAnsi="宋体" w:eastAsia="宋体" w:cs="宋体"/>
                <w:color w:val="auto"/>
                <w:kern w:val="0"/>
                <w:szCs w:val="21"/>
                <w:highlight w:val="none"/>
              </w:rPr>
              <w:t>，取费依据</w:t>
            </w:r>
            <w:r>
              <w:rPr>
                <w:rFonts w:hint="eastAsia" w:ascii="宋体" w:hAnsi="宋体" w:eastAsia="宋体" w:cs="宋体"/>
                <w:color w:val="auto"/>
                <w:kern w:val="0"/>
                <w:szCs w:val="21"/>
                <w:highlight w:val="none"/>
                <w:lang w:val="en-US" w:eastAsia="zh-CN"/>
              </w:rPr>
              <w:t>有但不完整</w:t>
            </w:r>
            <w:r>
              <w:rPr>
                <w:rFonts w:hint="eastAsia" w:ascii="宋体" w:hAnsi="宋体" w:eastAsia="宋体" w:cs="宋体"/>
                <w:color w:val="auto"/>
                <w:kern w:val="0"/>
                <w:szCs w:val="21"/>
                <w:highlight w:val="none"/>
              </w:rPr>
              <w:t>，测算的合理性与可行性</w:t>
            </w:r>
            <w:r>
              <w:rPr>
                <w:rFonts w:hint="eastAsia" w:ascii="宋体" w:hAnsi="宋体" w:eastAsia="宋体" w:cs="宋体"/>
                <w:color w:val="auto"/>
                <w:kern w:val="0"/>
                <w:szCs w:val="21"/>
                <w:highlight w:val="none"/>
                <w:lang w:val="en-US" w:eastAsia="zh-CN"/>
              </w:rPr>
              <w:t>一般</w:t>
            </w:r>
            <w:r>
              <w:rPr>
                <w:rFonts w:hint="eastAsia" w:ascii="宋体" w:hAnsi="宋体" w:eastAsia="宋体" w:cs="宋体"/>
                <w:color w:val="auto"/>
                <w:kern w:val="0"/>
                <w:szCs w:val="21"/>
                <w:highlight w:val="none"/>
              </w:rPr>
              <w:t>。</w:t>
            </w:r>
          </w:p>
          <w:p w14:paraId="720F7499">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b/>
                <w:bCs/>
                <w:color w:val="auto"/>
                <w:kern w:val="0"/>
                <w:szCs w:val="21"/>
                <w:highlight w:val="none"/>
              </w:rPr>
              <w:t>差</w:t>
            </w:r>
            <w:r>
              <w:rPr>
                <w:rFonts w:hint="eastAsia" w:ascii="宋体" w:hAnsi="宋体" w:eastAsia="宋体" w:cs="宋体"/>
                <w:b/>
                <w:bCs/>
                <w:color w:val="auto"/>
                <w:kern w:val="0"/>
                <w:szCs w:val="21"/>
                <w:highlight w:val="none"/>
                <w:lang w:val="en-US" w:eastAsia="zh-CN"/>
              </w:rPr>
              <w:t>，得</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0</w:t>
            </w:r>
            <w:r>
              <w:rPr>
                <w:rFonts w:hint="eastAsia" w:ascii="宋体" w:hAnsi="宋体" w:eastAsia="宋体" w:cs="宋体"/>
                <w:b/>
                <w:bCs/>
                <w:color w:val="auto"/>
                <w:kern w:val="0"/>
                <w:szCs w:val="21"/>
                <w:highlight w:val="none"/>
              </w:rPr>
              <w:t>-</w:t>
            </w:r>
            <w:r>
              <w:rPr>
                <w:rFonts w:hint="eastAsia" w:ascii="宋体" w:hAnsi="宋体" w:eastAsia="宋体" w:cs="宋体"/>
                <w:b/>
                <w:bCs/>
                <w:color w:val="auto"/>
                <w:kern w:val="0"/>
                <w:szCs w:val="21"/>
                <w:highlight w:val="none"/>
                <w:lang w:val="en-US" w:eastAsia="zh-CN"/>
              </w:rPr>
              <w:t>10</w:t>
            </w:r>
            <w:r>
              <w:rPr>
                <w:rFonts w:hint="eastAsia" w:ascii="宋体" w:hAnsi="宋体" w:eastAsia="宋体" w:cs="宋体"/>
                <w:b/>
                <w:bCs/>
                <w:color w:val="auto"/>
                <w:kern w:val="0"/>
                <w:szCs w:val="21"/>
                <w:highlight w:val="none"/>
              </w:rPr>
              <w:t>）分：</w:t>
            </w:r>
            <w:r>
              <w:rPr>
                <w:rFonts w:hint="eastAsia" w:ascii="宋体" w:hAnsi="宋体" w:eastAsia="宋体" w:cs="宋体"/>
                <w:color w:val="auto"/>
                <w:kern w:val="0"/>
                <w:szCs w:val="21"/>
                <w:highlight w:val="none"/>
              </w:rPr>
              <w:t>整体招商策略：市场评估准确</w:t>
            </w:r>
            <w:r>
              <w:rPr>
                <w:rFonts w:hint="eastAsia" w:ascii="宋体" w:hAnsi="宋体" w:eastAsia="宋体" w:cs="宋体"/>
                <w:color w:val="auto"/>
                <w:kern w:val="0"/>
                <w:szCs w:val="21"/>
                <w:highlight w:val="none"/>
                <w:lang w:val="en-US" w:eastAsia="zh-CN"/>
              </w:rPr>
              <w:t>度低</w:t>
            </w:r>
            <w:r>
              <w:rPr>
                <w:rFonts w:hint="eastAsia" w:ascii="宋体" w:hAnsi="宋体" w:eastAsia="宋体" w:cs="宋体"/>
                <w:color w:val="auto"/>
                <w:kern w:val="0"/>
                <w:szCs w:val="21"/>
                <w:highlight w:val="none"/>
              </w:rPr>
              <w:t>，项目发展定位清晰</w:t>
            </w:r>
            <w:r>
              <w:rPr>
                <w:rFonts w:hint="eastAsia" w:ascii="宋体" w:hAnsi="宋体" w:eastAsia="宋体" w:cs="宋体"/>
                <w:color w:val="auto"/>
                <w:kern w:val="0"/>
                <w:szCs w:val="21"/>
                <w:highlight w:val="none"/>
                <w:lang w:val="en-US" w:eastAsia="zh-CN"/>
              </w:rPr>
              <w:t>度</w:t>
            </w:r>
            <w:r>
              <w:rPr>
                <w:rFonts w:hint="eastAsia" w:ascii="宋体" w:hAnsi="宋体" w:eastAsia="宋体" w:cs="宋体"/>
                <w:color w:val="auto"/>
                <w:kern w:val="0"/>
                <w:szCs w:val="21"/>
                <w:highlight w:val="none"/>
              </w:rPr>
              <w:t>、合理</w:t>
            </w:r>
            <w:r>
              <w:rPr>
                <w:rFonts w:hint="eastAsia" w:ascii="宋体" w:hAnsi="宋体" w:eastAsia="宋体" w:cs="宋体"/>
                <w:color w:val="auto"/>
                <w:kern w:val="0"/>
                <w:szCs w:val="21"/>
                <w:highlight w:val="none"/>
                <w:lang w:val="en-US" w:eastAsia="zh-CN"/>
              </w:rPr>
              <w:t>性低</w:t>
            </w:r>
            <w:r>
              <w:rPr>
                <w:rFonts w:hint="eastAsia" w:ascii="宋体" w:hAnsi="宋体" w:eastAsia="宋体" w:cs="宋体"/>
                <w:color w:val="auto"/>
                <w:kern w:val="0"/>
                <w:szCs w:val="21"/>
                <w:highlight w:val="none"/>
              </w:rPr>
              <w:t>，对项目核心价值提炼</w:t>
            </w:r>
            <w:r>
              <w:rPr>
                <w:rFonts w:hint="eastAsia" w:ascii="宋体" w:hAnsi="宋体" w:eastAsia="宋体" w:cs="宋体"/>
                <w:color w:val="auto"/>
                <w:kern w:val="0"/>
                <w:szCs w:val="21"/>
                <w:highlight w:val="none"/>
                <w:lang w:val="en-US" w:eastAsia="zh-CN"/>
              </w:rPr>
              <w:t>不到位</w:t>
            </w:r>
            <w:r>
              <w:rPr>
                <w:rFonts w:hint="eastAsia" w:ascii="宋体" w:hAnsi="宋体" w:eastAsia="宋体" w:cs="宋体"/>
                <w:color w:val="auto"/>
                <w:kern w:val="0"/>
                <w:szCs w:val="21"/>
                <w:highlight w:val="none"/>
              </w:rPr>
              <w:t>，对项目发展理念和目标</w:t>
            </w:r>
            <w:r>
              <w:rPr>
                <w:rFonts w:hint="eastAsia" w:ascii="宋体" w:hAnsi="宋体" w:eastAsia="宋体" w:cs="宋体"/>
                <w:color w:val="auto"/>
                <w:kern w:val="0"/>
                <w:szCs w:val="21"/>
                <w:highlight w:val="none"/>
                <w:lang w:val="en-US" w:eastAsia="zh-CN"/>
              </w:rPr>
              <w:t>不</w:t>
            </w:r>
            <w:r>
              <w:rPr>
                <w:rFonts w:hint="eastAsia" w:ascii="宋体" w:hAnsi="宋体" w:eastAsia="宋体" w:cs="宋体"/>
                <w:color w:val="auto"/>
                <w:kern w:val="0"/>
                <w:szCs w:val="21"/>
                <w:highlight w:val="none"/>
              </w:rPr>
              <w:t>贴合招标人的目标，客户定位</w:t>
            </w:r>
            <w:r>
              <w:rPr>
                <w:rFonts w:hint="eastAsia" w:ascii="宋体" w:hAnsi="宋体" w:eastAsia="宋体" w:cs="宋体"/>
                <w:color w:val="auto"/>
                <w:kern w:val="0"/>
                <w:szCs w:val="21"/>
                <w:highlight w:val="none"/>
                <w:lang w:val="en-US" w:eastAsia="zh-CN"/>
              </w:rPr>
              <w:t>不准确</w:t>
            </w:r>
            <w:r>
              <w:rPr>
                <w:rFonts w:hint="eastAsia" w:ascii="宋体" w:hAnsi="宋体" w:eastAsia="宋体" w:cs="宋体"/>
                <w:color w:val="auto"/>
                <w:kern w:val="0"/>
                <w:szCs w:val="21"/>
                <w:highlight w:val="none"/>
              </w:rPr>
              <w:t>且重点客户拓展计划</w:t>
            </w:r>
            <w:r>
              <w:rPr>
                <w:rFonts w:hint="eastAsia" w:ascii="宋体" w:hAnsi="宋体" w:eastAsia="宋体" w:cs="宋体"/>
                <w:color w:val="auto"/>
                <w:kern w:val="0"/>
                <w:szCs w:val="21"/>
                <w:highlight w:val="none"/>
                <w:lang w:val="en-US" w:eastAsia="zh-CN"/>
              </w:rPr>
              <w:t>不完整</w:t>
            </w:r>
            <w:r>
              <w:rPr>
                <w:rFonts w:hint="eastAsia" w:ascii="宋体" w:hAnsi="宋体" w:eastAsia="宋体" w:cs="宋体"/>
                <w:color w:val="auto"/>
                <w:kern w:val="0"/>
                <w:szCs w:val="21"/>
                <w:highlight w:val="none"/>
              </w:rPr>
              <w:t>，招商目标</w:t>
            </w:r>
            <w:r>
              <w:rPr>
                <w:rFonts w:hint="eastAsia" w:ascii="宋体" w:hAnsi="宋体" w:eastAsia="宋体" w:cs="宋体"/>
                <w:color w:val="auto"/>
                <w:kern w:val="0"/>
                <w:szCs w:val="21"/>
                <w:highlight w:val="none"/>
                <w:lang w:val="en-US" w:eastAsia="zh-CN"/>
              </w:rPr>
              <w:t>不</w:t>
            </w:r>
            <w:r>
              <w:rPr>
                <w:rFonts w:hint="eastAsia" w:ascii="宋体" w:hAnsi="宋体" w:eastAsia="宋体" w:cs="宋体"/>
                <w:color w:val="auto"/>
                <w:kern w:val="0"/>
                <w:szCs w:val="21"/>
                <w:highlight w:val="none"/>
              </w:rPr>
              <w:t>符合市场规律，招商执行计划</w:t>
            </w:r>
            <w:r>
              <w:rPr>
                <w:rFonts w:hint="eastAsia" w:ascii="宋体" w:hAnsi="宋体" w:eastAsia="宋体" w:cs="宋体"/>
                <w:color w:val="auto"/>
                <w:kern w:val="0"/>
                <w:szCs w:val="21"/>
                <w:highlight w:val="none"/>
                <w:lang w:val="en-US" w:eastAsia="zh-CN"/>
              </w:rPr>
              <w:t>不</w:t>
            </w:r>
            <w:r>
              <w:rPr>
                <w:rFonts w:hint="eastAsia" w:ascii="宋体" w:hAnsi="宋体" w:eastAsia="宋体" w:cs="宋体"/>
                <w:color w:val="auto"/>
                <w:kern w:val="0"/>
                <w:szCs w:val="21"/>
                <w:highlight w:val="none"/>
              </w:rPr>
              <w:t>完整且</w:t>
            </w:r>
            <w:r>
              <w:rPr>
                <w:rFonts w:hint="eastAsia" w:ascii="宋体" w:hAnsi="宋体" w:eastAsia="宋体" w:cs="宋体"/>
                <w:color w:val="auto"/>
                <w:kern w:val="0"/>
                <w:szCs w:val="21"/>
                <w:highlight w:val="none"/>
                <w:lang w:val="en-US" w:eastAsia="zh-CN"/>
              </w:rPr>
              <w:t>难以</w:t>
            </w:r>
            <w:r>
              <w:rPr>
                <w:rFonts w:hint="eastAsia" w:ascii="宋体" w:hAnsi="宋体" w:eastAsia="宋体" w:cs="宋体"/>
                <w:color w:val="auto"/>
                <w:kern w:val="0"/>
                <w:szCs w:val="21"/>
                <w:highlight w:val="none"/>
              </w:rPr>
              <w:t>落地操作；</w:t>
            </w:r>
          </w:p>
          <w:p w14:paraId="36F23FE4">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制定租赁价格策略：租金体系分析完整</w:t>
            </w:r>
            <w:r>
              <w:rPr>
                <w:rFonts w:hint="eastAsia" w:ascii="宋体" w:hAnsi="宋体" w:eastAsia="宋体" w:cs="宋体"/>
                <w:color w:val="auto"/>
                <w:kern w:val="0"/>
                <w:szCs w:val="21"/>
                <w:highlight w:val="none"/>
                <w:lang w:val="en-US" w:eastAsia="zh-CN"/>
              </w:rPr>
              <w:t>性</w:t>
            </w:r>
            <w:r>
              <w:rPr>
                <w:rFonts w:hint="eastAsia" w:ascii="宋体" w:hAnsi="宋体" w:eastAsia="宋体" w:cs="宋体"/>
                <w:color w:val="auto"/>
                <w:kern w:val="0"/>
                <w:szCs w:val="21"/>
                <w:highlight w:val="none"/>
              </w:rPr>
              <w:t>、严谨</w:t>
            </w:r>
            <w:r>
              <w:rPr>
                <w:rFonts w:hint="eastAsia" w:ascii="宋体" w:hAnsi="宋体" w:eastAsia="宋体" w:cs="宋体"/>
                <w:color w:val="auto"/>
                <w:kern w:val="0"/>
                <w:szCs w:val="21"/>
                <w:highlight w:val="none"/>
                <w:lang w:val="en-US" w:eastAsia="zh-CN"/>
              </w:rPr>
              <w:t>性差</w:t>
            </w:r>
            <w:r>
              <w:rPr>
                <w:rFonts w:hint="eastAsia" w:ascii="宋体" w:hAnsi="宋体" w:eastAsia="宋体" w:cs="宋体"/>
                <w:color w:val="auto"/>
                <w:kern w:val="0"/>
                <w:szCs w:val="21"/>
                <w:highlight w:val="none"/>
              </w:rPr>
              <w:t>，依据</w:t>
            </w:r>
            <w:r>
              <w:rPr>
                <w:rFonts w:hint="eastAsia" w:ascii="宋体" w:hAnsi="宋体" w:eastAsia="宋体" w:cs="宋体"/>
                <w:color w:val="auto"/>
                <w:kern w:val="0"/>
                <w:szCs w:val="21"/>
                <w:highlight w:val="none"/>
                <w:lang w:val="en-US" w:eastAsia="zh-CN"/>
              </w:rPr>
              <w:t>不完整</w:t>
            </w:r>
            <w:r>
              <w:rPr>
                <w:rFonts w:hint="eastAsia" w:ascii="宋体" w:hAnsi="宋体" w:eastAsia="宋体" w:cs="宋体"/>
                <w:color w:val="auto"/>
                <w:kern w:val="0"/>
                <w:szCs w:val="21"/>
                <w:highlight w:val="none"/>
              </w:rPr>
              <w:t>，租金相关政策</w:t>
            </w:r>
            <w:r>
              <w:rPr>
                <w:rFonts w:hint="eastAsia" w:ascii="宋体" w:hAnsi="宋体" w:eastAsia="宋体" w:cs="宋体"/>
                <w:color w:val="auto"/>
                <w:kern w:val="0"/>
                <w:szCs w:val="21"/>
                <w:highlight w:val="none"/>
                <w:lang w:val="en-US" w:eastAsia="zh-CN"/>
              </w:rPr>
              <w:t>不</w:t>
            </w:r>
            <w:r>
              <w:rPr>
                <w:rFonts w:hint="eastAsia" w:ascii="宋体" w:hAnsi="宋体" w:eastAsia="宋体" w:cs="宋体"/>
                <w:color w:val="auto"/>
                <w:kern w:val="0"/>
                <w:szCs w:val="21"/>
                <w:highlight w:val="none"/>
              </w:rPr>
              <w:t>符合市场规律，落地执行</w:t>
            </w:r>
            <w:r>
              <w:rPr>
                <w:rFonts w:hint="eastAsia" w:ascii="宋体" w:hAnsi="宋体" w:eastAsia="宋体" w:cs="宋体"/>
                <w:color w:val="auto"/>
                <w:kern w:val="0"/>
                <w:szCs w:val="21"/>
                <w:highlight w:val="none"/>
                <w:lang w:val="en-US" w:eastAsia="zh-CN"/>
              </w:rPr>
              <w:t>困难</w:t>
            </w:r>
            <w:r>
              <w:rPr>
                <w:rFonts w:hint="eastAsia" w:ascii="宋体" w:hAnsi="宋体" w:eastAsia="宋体" w:cs="宋体"/>
                <w:color w:val="auto"/>
                <w:kern w:val="0"/>
                <w:szCs w:val="21"/>
                <w:highlight w:val="none"/>
              </w:rPr>
              <w:t>；</w:t>
            </w:r>
          </w:p>
          <w:p w14:paraId="7DDDA548">
            <w:pPr>
              <w:widowControl/>
              <w:spacing w:line="360" w:lineRule="auto"/>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产品优化和服务建议：投标人建议</w:t>
            </w:r>
            <w:r>
              <w:rPr>
                <w:rFonts w:hint="eastAsia" w:ascii="宋体" w:hAnsi="宋体" w:eastAsia="宋体" w:cs="宋体"/>
                <w:color w:val="auto"/>
                <w:kern w:val="0"/>
                <w:szCs w:val="21"/>
                <w:highlight w:val="none"/>
                <w:lang w:val="en-US" w:eastAsia="zh-CN"/>
              </w:rPr>
              <w:t>查</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lang w:val="en-US" w:eastAsia="zh-CN"/>
              </w:rPr>
              <w:t>不</w:t>
            </w:r>
            <w:r>
              <w:rPr>
                <w:rFonts w:hint="eastAsia" w:ascii="宋体" w:hAnsi="宋体" w:eastAsia="宋体" w:cs="宋体"/>
                <w:color w:val="auto"/>
                <w:kern w:val="0"/>
                <w:szCs w:val="21"/>
                <w:highlight w:val="none"/>
              </w:rPr>
              <w:t>符合项目定位发展且前瞻性</w:t>
            </w:r>
            <w:r>
              <w:rPr>
                <w:rFonts w:hint="eastAsia" w:ascii="宋体" w:hAnsi="宋体" w:eastAsia="宋体" w:cs="宋体"/>
                <w:color w:val="auto"/>
                <w:kern w:val="0"/>
                <w:szCs w:val="21"/>
                <w:highlight w:val="none"/>
                <w:lang w:val="en-US" w:eastAsia="zh-CN"/>
              </w:rPr>
              <w:t>差</w:t>
            </w:r>
            <w:r>
              <w:rPr>
                <w:rFonts w:hint="eastAsia" w:ascii="宋体" w:hAnsi="宋体" w:eastAsia="宋体" w:cs="宋体"/>
                <w:color w:val="auto"/>
                <w:kern w:val="0"/>
                <w:szCs w:val="21"/>
                <w:highlight w:val="none"/>
              </w:rPr>
              <w:t>；</w:t>
            </w:r>
          </w:p>
          <w:p w14:paraId="319D1E21">
            <w:pPr>
              <w:widowControl/>
              <w:adjustRightInd/>
              <w:snapToGrid/>
              <w:spacing w:line="240" w:lineRule="auto"/>
              <w:rPr>
                <w:rFonts w:hint="eastAsia" w:ascii="宋体" w:hAnsi="宋体" w:eastAsia="宋体" w:cs="宋体"/>
                <w:b/>
                <w:bCs/>
                <w:color w:val="auto"/>
                <w:kern w:val="0"/>
                <w:szCs w:val="21"/>
                <w:highlight w:val="none"/>
                <w:lang w:val="en-US" w:eastAsia="zh-CN"/>
              </w:rPr>
            </w:pPr>
            <w:r>
              <w:rPr>
                <w:rFonts w:hint="eastAsia" w:ascii="宋体" w:hAnsi="宋体" w:eastAsia="宋体" w:cs="宋体"/>
                <w:color w:val="auto"/>
                <w:kern w:val="0"/>
                <w:szCs w:val="21"/>
                <w:highlight w:val="none"/>
              </w:rPr>
              <w:t>项目运营测算：指标分析完整</w:t>
            </w:r>
            <w:r>
              <w:rPr>
                <w:rFonts w:hint="eastAsia" w:ascii="宋体" w:hAnsi="宋体" w:eastAsia="宋体" w:cs="宋体"/>
                <w:color w:val="auto"/>
                <w:kern w:val="0"/>
                <w:szCs w:val="21"/>
                <w:highlight w:val="none"/>
                <w:lang w:val="en-US" w:eastAsia="zh-CN"/>
              </w:rPr>
              <w:t>性</w:t>
            </w:r>
            <w:r>
              <w:rPr>
                <w:rFonts w:hint="eastAsia" w:ascii="宋体" w:hAnsi="宋体" w:eastAsia="宋体" w:cs="宋体"/>
                <w:color w:val="auto"/>
                <w:kern w:val="0"/>
                <w:szCs w:val="21"/>
                <w:highlight w:val="none"/>
              </w:rPr>
              <w:t>、严谨</w:t>
            </w:r>
            <w:r>
              <w:rPr>
                <w:rFonts w:hint="eastAsia" w:ascii="宋体" w:hAnsi="宋体" w:eastAsia="宋体" w:cs="宋体"/>
                <w:color w:val="auto"/>
                <w:kern w:val="0"/>
                <w:szCs w:val="21"/>
                <w:highlight w:val="none"/>
                <w:lang w:val="en-US" w:eastAsia="zh-CN"/>
              </w:rPr>
              <w:t>性差</w:t>
            </w:r>
            <w:r>
              <w:rPr>
                <w:rFonts w:hint="eastAsia" w:ascii="宋体" w:hAnsi="宋体" w:eastAsia="宋体" w:cs="宋体"/>
                <w:color w:val="auto"/>
                <w:kern w:val="0"/>
                <w:szCs w:val="21"/>
                <w:highlight w:val="none"/>
              </w:rPr>
              <w:t>，取费依据</w:t>
            </w:r>
            <w:r>
              <w:rPr>
                <w:rFonts w:hint="eastAsia" w:ascii="宋体" w:hAnsi="宋体" w:eastAsia="宋体" w:cs="宋体"/>
                <w:color w:val="auto"/>
                <w:kern w:val="0"/>
                <w:szCs w:val="21"/>
                <w:highlight w:val="none"/>
                <w:lang w:val="en-US" w:eastAsia="zh-CN"/>
              </w:rPr>
              <w:t>不完整</w:t>
            </w:r>
            <w:r>
              <w:rPr>
                <w:rFonts w:hint="eastAsia" w:ascii="宋体" w:hAnsi="宋体" w:eastAsia="宋体" w:cs="宋体"/>
                <w:color w:val="auto"/>
                <w:kern w:val="0"/>
                <w:szCs w:val="21"/>
                <w:highlight w:val="none"/>
              </w:rPr>
              <w:t>，测算</w:t>
            </w:r>
            <w:r>
              <w:rPr>
                <w:rFonts w:hint="eastAsia" w:ascii="宋体" w:hAnsi="宋体" w:eastAsia="宋体" w:cs="宋体"/>
                <w:color w:val="auto"/>
                <w:kern w:val="0"/>
                <w:szCs w:val="21"/>
                <w:highlight w:val="none"/>
                <w:lang w:val="en-US" w:eastAsia="zh-CN"/>
              </w:rPr>
              <w:t>不</w:t>
            </w:r>
            <w:r>
              <w:rPr>
                <w:rFonts w:hint="eastAsia" w:ascii="宋体" w:hAnsi="宋体" w:eastAsia="宋体" w:cs="宋体"/>
                <w:color w:val="auto"/>
                <w:kern w:val="0"/>
                <w:szCs w:val="21"/>
                <w:highlight w:val="none"/>
              </w:rPr>
              <w:t>合理。</w:t>
            </w:r>
          </w:p>
          <w:p w14:paraId="207C4B53">
            <w:pPr>
              <w:widowControl/>
              <w:adjustRightInd w:val="0"/>
              <w:snapToGrid w:val="0"/>
              <w:spacing w:line="360" w:lineRule="auto"/>
              <w:rPr>
                <w:rFonts w:hint="eastAsia" w:ascii="宋体" w:hAnsi="宋体" w:eastAsia="宋体" w:cs="宋体"/>
                <w:b/>
                <w:color w:val="auto"/>
                <w:szCs w:val="21"/>
                <w:highlight w:val="none"/>
              </w:rPr>
            </w:pPr>
          </w:p>
        </w:tc>
      </w:tr>
      <w:tr w14:paraId="7ADFE7F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330" w:type="pct"/>
            <w:tcBorders>
              <w:bottom w:val="single" w:color="auto" w:sz="4" w:space="0"/>
            </w:tcBorders>
            <w:noWrap w:val="0"/>
            <w:vAlign w:val="center"/>
          </w:tcPr>
          <w:p w14:paraId="1D83B9E1">
            <w:pPr>
              <w:spacing w:line="360" w:lineRule="auto"/>
              <w:jc w:val="center"/>
              <w:rPr>
                <w:rFonts w:ascii="宋体" w:hAnsi="宋体" w:eastAsia="宋体" w:cs="宋体"/>
                <w:b/>
                <w:color w:val="auto"/>
                <w:szCs w:val="21"/>
                <w:highlight w:val="none"/>
              </w:rPr>
            </w:pPr>
            <w:r>
              <w:rPr>
                <w:rFonts w:hint="eastAsia" w:ascii="宋体" w:hAnsi="宋体" w:eastAsia="宋体" w:cs="宋体"/>
                <w:b/>
                <w:color w:val="auto"/>
                <w:szCs w:val="21"/>
                <w:highlight w:val="none"/>
              </w:rPr>
              <w:t>三</w:t>
            </w:r>
          </w:p>
        </w:tc>
        <w:tc>
          <w:tcPr>
            <w:tcW w:w="522" w:type="pct"/>
            <w:tcBorders>
              <w:bottom w:val="single" w:color="auto" w:sz="4" w:space="0"/>
            </w:tcBorders>
            <w:noWrap w:val="0"/>
            <w:vAlign w:val="center"/>
          </w:tcPr>
          <w:p w14:paraId="48ACDCEC">
            <w:pPr>
              <w:snapToGrid w:val="0"/>
              <w:spacing w:line="360" w:lineRule="auto"/>
              <w:jc w:val="center"/>
              <w:rPr>
                <w:rFonts w:ascii="宋体" w:hAnsi="宋体" w:eastAsia="宋体" w:cs="宋体"/>
                <w:bCs/>
                <w:color w:val="auto"/>
                <w:szCs w:val="21"/>
                <w:highlight w:val="none"/>
              </w:rPr>
            </w:pPr>
            <w:r>
              <w:rPr>
                <w:rFonts w:hint="eastAsia" w:ascii="宋体" w:hAnsi="宋体" w:eastAsia="宋体" w:cs="宋体"/>
                <w:b/>
                <w:color w:val="auto"/>
                <w:szCs w:val="21"/>
                <w:highlight w:val="none"/>
              </w:rPr>
              <w:t>投标报价</w:t>
            </w:r>
          </w:p>
        </w:tc>
        <w:tc>
          <w:tcPr>
            <w:tcW w:w="217" w:type="pct"/>
            <w:noWrap w:val="0"/>
            <w:vAlign w:val="center"/>
          </w:tcPr>
          <w:p w14:paraId="382723D6">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40</w:t>
            </w:r>
          </w:p>
        </w:tc>
        <w:tc>
          <w:tcPr>
            <w:tcW w:w="3929" w:type="pct"/>
            <w:noWrap w:val="0"/>
            <w:vAlign w:val="center"/>
          </w:tcPr>
          <w:p w14:paraId="2311922E">
            <w:pPr>
              <w:widowControl/>
              <w:spacing w:line="360" w:lineRule="auto"/>
              <w:jc w:val="center"/>
              <w:rPr>
                <w:rFonts w:ascii="宋体" w:hAnsi="宋体" w:eastAsia="宋体" w:cs="宋体"/>
                <w:color w:val="auto"/>
                <w:kern w:val="0"/>
                <w:sz w:val="20"/>
                <w:highlight w:val="none"/>
              </w:rPr>
            </w:pPr>
            <w:r>
              <w:rPr>
                <w:rFonts w:hint="eastAsia" w:ascii="宋体" w:hAnsi="宋体" w:eastAsia="宋体" w:cs="宋体"/>
                <w:color w:val="auto"/>
                <w:kern w:val="0"/>
                <w:sz w:val="20"/>
                <w:highlight w:val="none"/>
              </w:rPr>
              <w:t>/</w:t>
            </w:r>
          </w:p>
        </w:tc>
      </w:tr>
      <w:tr w14:paraId="07207C3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462" w:hRule="atLeast"/>
          <w:jc w:val="center"/>
        </w:trPr>
        <w:tc>
          <w:tcPr>
            <w:tcW w:w="330" w:type="pct"/>
            <w:tcBorders>
              <w:bottom w:val="single" w:color="auto" w:sz="4" w:space="0"/>
            </w:tcBorders>
            <w:noWrap w:val="0"/>
            <w:vAlign w:val="center"/>
          </w:tcPr>
          <w:p w14:paraId="1A06394D">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3.1</w:t>
            </w:r>
          </w:p>
        </w:tc>
        <w:tc>
          <w:tcPr>
            <w:tcW w:w="522" w:type="pct"/>
            <w:tcBorders>
              <w:bottom w:val="single" w:color="auto" w:sz="4" w:space="0"/>
            </w:tcBorders>
            <w:noWrap w:val="0"/>
            <w:vAlign w:val="center"/>
          </w:tcPr>
          <w:p w14:paraId="74C8CA64">
            <w:pPr>
              <w:widowControl/>
              <w:spacing w:line="360" w:lineRule="auto"/>
              <w:jc w:val="center"/>
              <w:rPr>
                <w:rFonts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营销顾问费用</w:t>
            </w:r>
          </w:p>
        </w:tc>
        <w:tc>
          <w:tcPr>
            <w:tcW w:w="217" w:type="pct"/>
            <w:noWrap w:val="0"/>
            <w:vAlign w:val="center"/>
          </w:tcPr>
          <w:p w14:paraId="09C060A4">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3929" w:type="pct"/>
            <w:noWrap w:val="0"/>
            <w:vAlign w:val="center"/>
          </w:tcPr>
          <w:p w14:paraId="0D7E63F8">
            <w:pPr>
              <w:widowControl/>
              <w:spacing w:line="360" w:lineRule="auto"/>
              <w:rPr>
                <w:rFonts w:hint="eastAsia" w:ascii="宋体" w:hAnsi="宋体" w:eastAsia="宋体" w:cs="宋体"/>
                <w:color w:val="auto"/>
                <w:kern w:val="0"/>
                <w:sz w:val="20"/>
                <w:highlight w:val="none"/>
              </w:rPr>
            </w:pPr>
            <w:r>
              <w:rPr>
                <w:rFonts w:hint="eastAsia" w:ascii="宋体" w:hAnsi="宋体" w:eastAsia="宋体" w:cs="宋体"/>
                <w:color w:val="auto"/>
                <w:kern w:val="0"/>
                <w:sz w:val="20"/>
                <w:highlight w:val="none"/>
              </w:rPr>
              <w:t>营销顾问费用最高投标限价为</w:t>
            </w:r>
            <w:r>
              <w:rPr>
                <w:rFonts w:hint="eastAsia" w:ascii="宋体" w:hAnsi="宋体" w:eastAsia="宋体" w:cs="宋体"/>
                <w:color w:val="auto"/>
                <w:kern w:val="0"/>
                <w:sz w:val="20"/>
                <w:highlight w:val="none"/>
                <w:lang w:eastAsia="zh-CN"/>
              </w:rPr>
              <w:t>8</w:t>
            </w:r>
            <w:r>
              <w:rPr>
                <w:rFonts w:hint="eastAsia" w:ascii="宋体" w:hAnsi="宋体" w:eastAsia="宋体" w:cs="宋体"/>
                <w:color w:val="auto"/>
                <w:kern w:val="0"/>
                <w:sz w:val="20"/>
                <w:highlight w:val="none"/>
              </w:rPr>
              <w:t>万元</w:t>
            </w:r>
            <w:r>
              <w:rPr>
                <w:rFonts w:hint="eastAsia" w:ascii="宋体" w:hAnsi="宋体" w:eastAsia="宋体" w:cs="宋体"/>
                <w:color w:val="auto"/>
                <w:kern w:val="0"/>
                <w:sz w:val="20"/>
                <w:highlight w:val="none"/>
                <w:lang w:val="en-US" w:eastAsia="zh-CN"/>
              </w:rPr>
              <w:t>/月</w:t>
            </w:r>
            <w:r>
              <w:rPr>
                <w:rFonts w:hint="eastAsia" w:ascii="宋体" w:hAnsi="宋体" w:eastAsia="宋体" w:cs="宋体"/>
                <w:color w:val="auto"/>
                <w:kern w:val="0"/>
                <w:sz w:val="20"/>
                <w:highlight w:val="none"/>
              </w:rPr>
              <w:t>。</w:t>
            </w:r>
          </w:p>
          <w:p w14:paraId="3758049E">
            <w:pPr>
              <w:widowControl/>
              <w:spacing w:line="360" w:lineRule="auto"/>
              <w:rPr>
                <w:rFonts w:ascii="宋体" w:hAnsi="宋体" w:eastAsia="宋体" w:cs="宋体"/>
                <w:color w:val="auto"/>
                <w:kern w:val="0"/>
                <w:sz w:val="20"/>
                <w:highlight w:val="none"/>
              </w:rPr>
            </w:pPr>
            <w:r>
              <w:rPr>
                <w:rFonts w:hint="eastAsia" w:ascii="宋体" w:hAnsi="宋体" w:eastAsia="宋体" w:cs="宋体"/>
                <w:color w:val="auto"/>
                <w:kern w:val="0"/>
                <w:sz w:val="20"/>
                <w:highlight w:val="none"/>
              </w:rPr>
              <w:t>评分规则如下：评标基准值=所有有效投标人的评标价格之和÷有效投标人数量；</w:t>
            </w:r>
          </w:p>
          <w:p w14:paraId="63577357">
            <w:pPr>
              <w:widowControl/>
              <w:spacing w:line="360" w:lineRule="auto"/>
              <w:rPr>
                <w:rFonts w:ascii="宋体" w:hAnsi="宋体" w:eastAsia="宋体" w:cs="宋体"/>
                <w:color w:val="auto"/>
                <w:kern w:val="0"/>
                <w:sz w:val="20"/>
                <w:highlight w:val="none"/>
              </w:rPr>
            </w:pPr>
            <w:r>
              <w:rPr>
                <w:rFonts w:hint="eastAsia" w:ascii="宋体" w:hAnsi="宋体" w:eastAsia="宋体" w:cs="宋体"/>
                <w:color w:val="auto"/>
                <w:kern w:val="0"/>
                <w:sz w:val="20"/>
                <w:highlight w:val="none"/>
              </w:rPr>
              <w:t>（1）若投标人评标价格&gt;评标基准值，则投标人的投标报价得分=10-（投标人评标价格-评标基准值）/评标基准值*100*0.5；</w:t>
            </w:r>
          </w:p>
          <w:p w14:paraId="36D854AF">
            <w:pPr>
              <w:widowControl/>
              <w:spacing w:line="360" w:lineRule="auto"/>
              <w:rPr>
                <w:rFonts w:ascii="宋体" w:hAnsi="宋体" w:eastAsia="宋体" w:cs="宋体"/>
                <w:color w:val="auto"/>
                <w:kern w:val="0"/>
                <w:sz w:val="20"/>
                <w:highlight w:val="none"/>
              </w:rPr>
            </w:pPr>
            <w:r>
              <w:rPr>
                <w:rFonts w:hint="eastAsia" w:ascii="宋体" w:hAnsi="宋体" w:eastAsia="宋体" w:cs="宋体"/>
                <w:color w:val="auto"/>
                <w:kern w:val="0"/>
                <w:sz w:val="20"/>
                <w:highlight w:val="none"/>
              </w:rPr>
              <w:t>（2）若投标人评标价格&lt;评标基准值，则投标人的投标报价得分=10-（评标基准值-投标人评标价格）/评标基准值*100*0.3；</w:t>
            </w:r>
          </w:p>
          <w:p w14:paraId="3E52ABD1">
            <w:pPr>
              <w:widowControl/>
              <w:spacing w:line="360" w:lineRule="auto"/>
              <w:rPr>
                <w:rFonts w:ascii="宋体" w:hAnsi="宋体" w:eastAsia="宋体" w:cs="宋体"/>
                <w:color w:val="auto"/>
                <w:kern w:val="0"/>
                <w:sz w:val="20"/>
                <w:highlight w:val="none"/>
              </w:rPr>
            </w:pPr>
            <w:r>
              <w:rPr>
                <w:rFonts w:hint="eastAsia" w:ascii="宋体" w:hAnsi="宋体" w:eastAsia="宋体" w:cs="宋体"/>
                <w:color w:val="auto"/>
                <w:kern w:val="0"/>
                <w:sz w:val="20"/>
                <w:highlight w:val="none"/>
              </w:rPr>
              <w:t>（3）若投标人评标价格=评标基准值，则投标人的投标报价得分为满分。投标报价得分保留至小数点后两位。（得分扣至0分止）</w:t>
            </w:r>
          </w:p>
        </w:tc>
      </w:tr>
      <w:tr w14:paraId="26AE10E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330" w:type="pct"/>
            <w:tcBorders>
              <w:top w:val="single" w:color="auto" w:sz="4" w:space="0"/>
              <w:bottom w:val="single" w:color="auto" w:sz="4" w:space="0"/>
            </w:tcBorders>
            <w:noWrap w:val="0"/>
            <w:vAlign w:val="center"/>
          </w:tcPr>
          <w:p w14:paraId="4975C40F">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3.2</w:t>
            </w:r>
          </w:p>
        </w:tc>
        <w:tc>
          <w:tcPr>
            <w:tcW w:w="522" w:type="pct"/>
            <w:tcBorders>
              <w:top w:val="single" w:color="auto" w:sz="4" w:space="0"/>
              <w:bottom w:val="single" w:color="auto" w:sz="4" w:space="0"/>
            </w:tcBorders>
            <w:noWrap w:val="0"/>
            <w:vAlign w:val="center"/>
          </w:tcPr>
          <w:p w14:paraId="1D5F439D">
            <w:pPr>
              <w:widowControl/>
              <w:spacing w:line="360" w:lineRule="auto"/>
              <w:jc w:val="center"/>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基础代理佣金</w:t>
            </w:r>
          </w:p>
        </w:tc>
        <w:tc>
          <w:tcPr>
            <w:tcW w:w="217" w:type="pct"/>
            <w:noWrap w:val="0"/>
            <w:vAlign w:val="center"/>
          </w:tcPr>
          <w:p w14:paraId="3BD52E2B">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20</w:t>
            </w:r>
          </w:p>
        </w:tc>
        <w:tc>
          <w:tcPr>
            <w:tcW w:w="3929" w:type="pct"/>
            <w:noWrap w:val="0"/>
            <w:vAlign w:val="center"/>
          </w:tcPr>
          <w:p w14:paraId="2EF27CED">
            <w:pPr>
              <w:widowControl/>
              <w:spacing w:line="360" w:lineRule="auto"/>
              <w:rPr>
                <w:rFonts w:ascii="宋体" w:hAnsi="宋体" w:eastAsia="宋体" w:cs="宋体"/>
                <w:color w:val="auto"/>
                <w:kern w:val="0"/>
                <w:sz w:val="20"/>
                <w:highlight w:val="none"/>
              </w:rPr>
            </w:pPr>
            <w:r>
              <w:rPr>
                <w:rFonts w:hint="eastAsia" w:ascii="宋体" w:hAnsi="宋体" w:eastAsia="宋体" w:cs="宋体"/>
                <w:b/>
                <w:bCs/>
                <w:color w:val="auto"/>
                <w:kern w:val="0"/>
                <w:sz w:val="20"/>
                <w:highlight w:val="none"/>
              </w:rPr>
              <w:t>基础代理佣金最高投标限价</w:t>
            </w:r>
            <w:r>
              <w:rPr>
                <w:rFonts w:hint="eastAsia" w:ascii="宋体" w:hAnsi="宋体" w:eastAsia="宋体" w:cs="宋体"/>
                <w:b/>
                <w:bCs/>
                <w:color w:val="auto"/>
                <w:kern w:val="0"/>
                <w:sz w:val="20"/>
                <w:highlight w:val="none"/>
                <w:lang w:val="en-US" w:eastAsia="zh-CN"/>
              </w:rPr>
              <w:t>为</w:t>
            </w:r>
            <w:r>
              <w:rPr>
                <w:rFonts w:hint="eastAsia" w:ascii="宋体" w:hAnsi="宋体" w:eastAsia="宋体" w:cs="宋体"/>
                <w:b/>
                <w:bCs/>
                <w:color w:val="auto"/>
                <w:kern w:val="0"/>
                <w:sz w:val="20"/>
                <w:highlight w:val="none"/>
              </w:rPr>
              <w:t>招标人与成交租户最终签署的租赁合同中规定的首年首月租金</w:t>
            </w:r>
            <w:r>
              <w:rPr>
                <w:rFonts w:hint="eastAsia" w:ascii="宋体" w:hAnsi="宋体" w:eastAsia="宋体" w:cs="宋体"/>
                <w:b/>
                <w:bCs/>
                <w:color w:val="auto"/>
                <w:kern w:val="0"/>
                <w:sz w:val="20"/>
                <w:highlight w:val="none"/>
                <w:lang w:val="en-US" w:eastAsia="zh-CN"/>
              </w:rPr>
              <w:t>的200%</w:t>
            </w:r>
            <w:r>
              <w:rPr>
                <w:rFonts w:hint="eastAsia" w:ascii="宋体" w:hAnsi="宋体" w:eastAsia="宋体" w:cs="宋体"/>
                <w:b/>
                <w:bCs/>
                <w:color w:val="auto"/>
                <w:kern w:val="0"/>
                <w:sz w:val="20"/>
                <w:highlight w:val="none"/>
              </w:rPr>
              <w:t>（投标人有效报价区间：</w:t>
            </w:r>
            <w:r>
              <w:rPr>
                <w:rFonts w:hint="eastAsia" w:ascii="宋体" w:hAnsi="宋体" w:eastAsia="宋体" w:cs="宋体"/>
                <w:b/>
                <w:bCs/>
                <w:color w:val="auto"/>
                <w:kern w:val="0"/>
                <w:sz w:val="20"/>
                <w:highlight w:val="none"/>
                <w:lang w:val="en-US" w:eastAsia="zh-CN"/>
              </w:rPr>
              <w:t>10</w:t>
            </w:r>
            <w:r>
              <w:rPr>
                <w:rFonts w:hint="eastAsia" w:ascii="宋体" w:hAnsi="宋体" w:eastAsia="宋体" w:cs="宋体"/>
                <w:b/>
                <w:bCs/>
                <w:color w:val="auto"/>
                <w:kern w:val="0"/>
                <w:sz w:val="20"/>
                <w:highlight w:val="none"/>
              </w:rPr>
              <w:t>0%-200%（含</w:t>
            </w:r>
            <w:r>
              <w:rPr>
                <w:rFonts w:hint="eastAsia" w:ascii="宋体" w:hAnsi="宋体" w:eastAsia="宋体" w:cs="宋体"/>
                <w:b/>
                <w:bCs/>
                <w:color w:val="auto"/>
                <w:kern w:val="0"/>
                <w:sz w:val="20"/>
                <w:highlight w:val="none"/>
                <w:lang w:val="en-US" w:eastAsia="zh-CN"/>
              </w:rPr>
              <w:t>10</w:t>
            </w:r>
            <w:r>
              <w:rPr>
                <w:rFonts w:hint="eastAsia" w:ascii="宋体" w:hAnsi="宋体" w:eastAsia="宋体" w:cs="宋体"/>
                <w:b/>
                <w:bCs/>
                <w:color w:val="auto"/>
                <w:kern w:val="0"/>
                <w:sz w:val="20"/>
                <w:highlight w:val="none"/>
              </w:rPr>
              <w:t>0%和200%),否则无效）。</w:t>
            </w:r>
            <w:r>
              <w:rPr>
                <w:rFonts w:hint="eastAsia" w:ascii="宋体" w:hAnsi="宋体" w:eastAsia="宋体" w:cs="宋体"/>
                <w:color w:val="auto"/>
                <w:kern w:val="0"/>
                <w:sz w:val="20"/>
                <w:highlight w:val="none"/>
              </w:rPr>
              <w:t>超过最高投标限价，将作否决投标处理。投标报价得分是对已通过初步评审的投标人的评标费率作为评审对象，评分规则如下：评标基准值=所有有效投标人的费率之和÷有效投标人数量；</w:t>
            </w:r>
          </w:p>
          <w:p w14:paraId="5EF1AC96">
            <w:pPr>
              <w:widowControl/>
              <w:spacing w:line="360" w:lineRule="auto"/>
              <w:rPr>
                <w:rFonts w:ascii="宋体" w:hAnsi="宋体" w:eastAsia="宋体" w:cs="宋体"/>
                <w:color w:val="auto"/>
                <w:kern w:val="0"/>
                <w:sz w:val="20"/>
                <w:highlight w:val="none"/>
              </w:rPr>
            </w:pPr>
            <w:r>
              <w:rPr>
                <w:rFonts w:hint="eastAsia" w:ascii="宋体" w:hAnsi="宋体" w:eastAsia="宋体" w:cs="宋体"/>
                <w:color w:val="auto"/>
                <w:kern w:val="0"/>
                <w:sz w:val="20"/>
                <w:highlight w:val="none"/>
              </w:rPr>
              <w:t>（1）若投标人评标费率&gt;评标基准值，则投标人的投标报价得分=20-（投标人评标费率-评标基准值）/评标基准值*100*0.5；</w:t>
            </w:r>
          </w:p>
          <w:p w14:paraId="3C3E25AF">
            <w:pPr>
              <w:widowControl/>
              <w:spacing w:line="360" w:lineRule="auto"/>
              <w:rPr>
                <w:rFonts w:ascii="宋体" w:hAnsi="宋体" w:eastAsia="宋体" w:cs="宋体"/>
                <w:color w:val="auto"/>
                <w:kern w:val="0"/>
                <w:sz w:val="20"/>
                <w:highlight w:val="none"/>
              </w:rPr>
            </w:pPr>
            <w:r>
              <w:rPr>
                <w:rFonts w:hint="eastAsia" w:ascii="宋体" w:hAnsi="宋体" w:eastAsia="宋体" w:cs="宋体"/>
                <w:color w:val="auto"/>
                <w:kern w:val="0"/>
                <w:sz w:val="20"/>
                <w:highlight w:val="none"/>
              </w:rPr>
              <w:t>（2）若投标人评标费率&lt;评标基准值，则投标人的投标报价得分=20-（评标基准值-投标人评标费率）/评标基准值*100*0.3；</w:t>
            </w:r>
          </w:p>
          <w:p w14:paraId="7F9C2C7A">
            <w:pPr>
              <w:widowControl/>
              <w:spacing w:line="360" w:lineRule="auto"/>
              <w:rPr>
                <w:rFonts w:hint="eastAsia" w:ascii="宋体" w:hAnsi="宋体" w:eastAsia="宋体" w:cs="宋体"/>
                <w:color w:val="auto"/>
                <w:kern w:val="0"/>
                <w:sz w:val="20"/>
                <w:highlight w:val="none"/>
              </w:rPr>
            </w:pPr>
            <w:r>
              <w:rPr>
                <w:rFonts w:hint="eastAsia" w:ascii="宋体" w:hAnsi="宋体" w:eastAsia="宋体" w:cs="宋体"/>
                <w:color w:val="auto"/>
                <w:kern w:val="0"/>
                <w:sz w:val="20"/>
                <w:highlight w:val="none"/>
              </w:rPr>
              <w:t>（3）若投标人评标费率=评标基准值，则投标人的投标报价得分为满分。投标报价得分保留至小数点后两位。（得分扣至0分止）</w:t>
            </w:r>
          </w:p>
        </w:tc>
      </w:tr>
      <w:tr w14:paraId="723D87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jc w:val="center"/>
        </w:trPr>
        <w:tc>
          <w:tcPr>
            <w:tcW w:w="330" w:type="pct"/>
            <w:tcBorders>
              <w:top w:val="single" w:color="auto" w:sz="4" w:space="0"/>
              <w:bottom w:val="single" w:color="auto" w:sz="4" w:space="0"/>
            </w:tcBorders>
            <w:noWrap w:val="0"/>
            <w:vAlign w:val="center"/>
          </w:tcPr>
          <w:p w14:paraId="25201435">
            <w:pPr>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3.3</w:t>
            </w:r>
          </w:p>
        </w:tc>
        <w:tc>
          <w:tcPr>
            <w:tcW w:w="522" w:type="pct"/>
            <w:tcBorders>
              <w:top w:val="single" w:color="auto" w:sz="4" w:space="0"/>
              <w:bottom w:val="single" w:color="auto" w:sz="4" w:space="0"/>
            </w:tcBorders>
            <w:noWrap w:val="0"/>
            <w:vAlign w:val="center"/>
          </w:tcPr>
          <w:p w14:paraId="751EE4E9">
            <w:pPr>
              <w:widowControl/>
              <w:spacing w:line="360" w:lineRule="auto"/>
              <w:jc w:val="center"/>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统筹管理服务佣金</w:t>
            </w:r>
          </w:p>
        </w:tc>
        <w:tc>
          <w:tcPr>
            <w:tcW w:w="217" w:type="pct"/>
            <w:noWrap w:val="0"/>
            <w:vAlign w:val="center"/>
          </w:tcPr>
          <w:p w14:paraId="7C8C6786">
            <w:pPr>
              <w:snapToGrid w:val="0"/>
              <w:spacing w:line="360" w:lineRule="auto"/>
              <w:jc w:val="center"/>
              <w:rPr>
                <w:rFonts w:ascii="宋体" w:hAnsi="宋体" w:eastAsia="宋体" w:cs="宋体"/>
                <w:color w:val="auto"/>
                <w:szCs w:val="21"/>
                <w:highlight w:val="none"/>
              </w:rPr>
            </w:pPr>
            <w:r>
              <w:rPr>
                <w:rFonts w:hint="eastAsia" w:ascii="宋体" w:hAnsi="宋体" w:eastAsia="宋体" w:cs="宋体"/>
                <w:color w:val="auto"/>
                <w:szCs w:val="21"/>
                <w:highlight w:val="none"/>
              </w:rPr>
              <w:t>10</w:t>
            </w:r>
          </w:p>
        </w:tc>
        <w:tc>
          <w:tcPr>
            <w:tcW w:w="3929" w:type="pct"/>
            <w:noWrap w:val="0"/>
            <w:vAlign w:val="center"/>
          </w:tcPr>
          <w:p w14:paraId="74F0F236">
            <w:pPr>
              <w:widowControl/>
              <w:spacing w:line="360" w:lineRule="auto"/>
              <w:rPr>
                <w:rFonts w:ascii="宋体" w:hAnsi="宋体" w:eastAsia="宋体" w:cs="宋体"/>
                <w:color w:val="auto"/>
                <w:kern w:val="0"/>
                <w:sz w:val="20"/>
                <w:highlight w:val="none"/>
              </w:rPr>
            </w:pPr>
            <w:r>
              <w:rPr>
                <w:rFonts w:hint="eastAsia" w:ascii="宋体" w:hAnsi="宋体" w:eastAsia="宋体" w:cs="宋体"/>
                <w:b/>
                <w:bCs/>
                <w:color w:val="auto"/>
                <w:kern w:val="0"/>
                <w:sz w:val="20"/>
                <w:highlight w:val="none"/>
              </w:rPr>
              <w:t>统筹管理服务佣金最高投标限价</w:t>
            </w:r>
            <w:r>
              <w:rPr>
                <w:rFonts w:hint="eastAsia" w:ascii="宋体" w:hAnsi="宋体" w:eastAsia="宋体" w:cs="宋体"/>
                <w:b/>
                <w:bCs/>
                <w:color w:val="auto"/>
                <w:kern w:val="0"/>
                <w:sz w:val="20"/>
                <w:highlight w:val="none"/>
                <w:u w:val="none"/>
                <w:lang w:val="en-US" w:eastAsia="zh-CN"/>
              </w:rPr>
              <w:t>为</w:t>
            </w:r>
            <w:r>
              <w:rPr>
                <w:rFonts w:hint="eastAsia" w:ascii="宋体" w:hAnsi="宋体" w:eastAsia="宋体" w:cs="宋体"/>
                <w:b/>
                <w:bCs/>
                <w:color w:val="auto"/>
                <w:kern w:val="0"/>
                <w:sz w:val="20"/>
                <w:highlight w:val="none"/>
                <w:u w:val="none"/>
              </w:rPr>
              <w:t>招标人与成交租户最终签署的租赁合同中规定的首年首月租金</w:t>
            </w:r>
            <w:r>
              <w:rPr>
                <w:rFonts w:hint="eastAsia" w:ascii="宋体" w:hAnsi="宋体" w:eastAsia="宋体" w:cs="宋体"/>
                <w:b/>
                <w:bCs/>
                <w:color w:val="auto"/>
                <w:kern w:val="0"/>
                <w:sz w:val="20"/>
                <w:highlight w:val="none"/>
                <w:u w:val="none"/>
                <w:lang w:val="en-US" w:eastAsia="zh-CN"/>
              </w:rPr>
              <w:t>的20%</w:t>
            </w:r>
            <w:r>
              <w:rPr>
                <w:rFonts w:hint="eastAsia" w:ascii="宋体" w:hAnsi="宋体" w:eastAsia="宋体" w:cs="宋体"/>
                <w:b/>
                <w:bCs/>
                <w:color w:val="auto"/>
                <w:kern w:val="0"/>
                <w:sz w:val="20"/>
                <w:highlight w:val="none"/>
              </w:rPr>
              <w:t>（投标人有效报价区间：0-20%（含0%和20%），否则无效）。</w:t>
            </w:r>
            <w:r>
              <w:rPr>
                <w:rFonts w:hint="eastAsia" w:ascii="宋体" w:hAnsi="宋体" w:eastAsia="宋体" w:cs="宋体"/>
                <w:color w:val="auto"/>
                <w:kern w:val="0"/>
                <w:sz w:val="20"/>
                <w:highlight w:val="none"/>
              </w:rPr>
              <w:t>超过最高投标限价，将作否决投标处理。投标报价得分是对已通过初步评审的投标人的评标费率作为评审对象，评分规则如下：评标基准值=所有有效投标人的费率之和÷有效投标人数量；</w:t>
            </w:r>
          </w:p>
          <w:p w14:paraId="661CFE8A">
            <w:pPr>
              <w:widowControl/>
              <w:spacing w:line="360" w:lineRule="auto"/>
              <w:rPr>
                <w:rFonts w:ascii="宋体" w:hAnsi="宋体" w:eastAsia="宋体" w:cs="宋体"/>
                <w:color w:val="auto"/>
                <w:kern w:val="0"/>
                <w:sz w:val="20"/>
                <w:highlight w:val="none"/>
              </w:rPr>
            </w:pPr>
            <w:r>
              <w:rPr>
                <w:rFonts w:hint="eastAsia" w:ascii="宋体" w:hAnsi="宋体" w:eastAsia="宋体" w:cs="宋体"/>
                <w:color w:val="auto"/>
                <w:kern w:val="0"/>
                <w:sz w:val="20"/>
                <w:highlight w:val="none"/>
              </w:rPr>
              <w:t>（1）若投标人评标费率&gt;评标基准值，则投标人的投标报价得分=10-（投标人评标费率-评标基准值）/评标基准值*100*0.5；</w:t>
            </w:r>
          </w:p>
          <w:p w14:paraId="6051AD90">
            <w:pPr>
              <w:widowControl/>
              <w:spacing w:line="360" w:lineRule="auto"/>
              <w:rPr>
                <w:rFonts w:ascii="宋体" w:hAnsi="宋体" w:eastAsia="宋体" w:cs="宋体"/>
                <w:color w:val="auto"/>
                <w:kern w:val="0"/>
                <w:sz w:val="20"/>
                <w:highlight w:val="none"/>
              </w:rPr>
            </w:pPr>
            <w:r>
              <w:rPr>
                <w:rFonts w:hint="eastAsia" w:ascii="宋体" w:hAnsi="宋体" w:eastAsia="宋体" w:cs="宋体"/>
                <w:color w:val="auto"/>
                <w:kern w:val="0"/>
                <w:sz w:val="20"/>
                <w:highlight w:val="none"/>
              </w:rPr>
              <w:t>（2）若投标人评标费率&lt;评标基准值，则投标人的投标报价得分=10-（评标基准值-投标人评标费率）/评标基准值*100*0.3；</w:t>
            </w:r>
          </w:p>
          <w:p w14:paraId="1E207255">
            <w:pPr>
              <w:widowControl/>
              <w:spacing w:line="360" w:lineRule="auto"/>
              <w:rPr>
                <w:rFonts w:hint="eastAsia" w:ascii="宋体" w:hAnsi="宋体" w:eastAsia="宋体" w:cs="宋体"/>
                <w:color w:val="auto"/>
                <w:kern w:val="0"/>
                <w:sz w:val="20"/>
                <w:highlight w:val="none"/>
              </w:rPr>
            </w:pPr>
            <w:r>
              <w:rPr>
                <w:rFonts w:hint="eastAsia" w:ascii="宋体" w:hAnsi="宋体" w:eastAsia="宋体" w:cs="宋体"/>
                <w:color w:val="auto"/>
                <w:kern w:val="0"/>
                <w:sz w:val="20"/>
                <w:highlight w:val="none"/>
              </w:rPr>
              <w:t>（3）若投标人评标费率=评标基准值，则投标人的投标报价得分为满分。投标报价得分保留至小数点后两位。（得分扣至0分止）</w:t>
            </w:r>
          </w:p>
        </w:tc>
      </w:tr>
    </w:tbl>
    <w:p w14:paraId="43644B41">
      <w:pPr>
        <w:pStyle w:val="16"/>
        <w:rPr>
          <w:rFonts w:hAnsi="宋体" w:cs="宋体"/>
          <w:color w:val="auto"/>
          <w:sz w:val="18"/>
          <w:szCs w:val="18"/>
          <w:highlight w:val="none"/>
          <w:u w:val="single"/>
        </w:rPr>
      </w:pPr>
    </w:p>
    <w:p w14:paraId="0B1DFFC0">
      <w:pPr>
        <w:pStyle w:val="16"/>
        <w:rPr>
          <w:color w:val="auto"/>
          <w:highlight w:val="none"/>
        </w:rPr>
        <w:sectPr>
          <w:pgSz w:w="16838" w:h="11906" w:orient="landscape"/>
          <w:pgMar w:top="1797" w:right="1440" w:bottom="1797" w:left="1440" w:header="720" w:footer="720" w:gutter="0"/>
          <w:pgBorders>
            <w:top w:val="none" w:sz="0" w:space="0"/>
            <w:left w:val="none" w:sz="0" w:space="0"/>
            <w:bottom w:val="none" w:sz="0" w:space="0"/>
            <w:right w:val="none" w:sz="0" w:space="0"/>
          </w:pgBorders>
          <w:cols w:space="720" w:num="1"/>
          <w:docGrid w:linePitch="286" w:charSpace="0"/>
        </w:sectPr>
      </w:pPr>
      <w:bookmarkStart w:id="349" w:name="_Toc492300628"/>
    </w:p>
    <w:p w14:paraId="5C9C97DB">
      <w:pPr>
        <w:pStyle w:val="3"/>
        <w:rPr>
          <w:color w:val="auto"/>
          <w:highlight w:val="none"/>
        </w:rPr>
      </w:pPr>
      <w:bookmarkStart w:id="350" w:name="_Toc16053"/>
      <w:bookmarkStart w:id="351" w:name="_Toc138236383"/>
      <w:r>
        <w:rPr>
          <w:color w:val="auto"/>
          <w:highlight w:val="none"/>
        </w:rPr>
        <w:t xml:space="preserve">1. </w:t>
      </w:r>
      <w:r>
        <w:rPr>
          <w:rFonts w:hint="eastAsia"/>
          <w:color w:val="auto"/>
          <w:highlight w:val="none"/>
        </w:rPr>
        <w:t>评标方法</w:t>
      </w:r>
      <w:bookmarkEnd w:id="349"/>
      <w:bookmarkEnd w:id="350"/>
      <w:bookmarkEnd w:id="351"/>
    </w:p>
    <w:p w14:paraId="230F4473">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本次评标采用综合评估法。评标委员会对满足招标文件实质性要求的投标文件，按照本章第</w:t>
      </w:r>
      <w:r>
        <w:rPr>
          <w:rFonts w:ascii="宋体" w:hAnsi="宋体" w:eastAsia="宋体"/>
          <w:color w:val="auto"/>
          <w:highlight w:val="none"/>
        </w:rPr>
        <w:t>2.2款规定的评分标准进行打分，并按得分由高到低顺序推荐中标候选人，或根据招标人授权直接确定中标人，但投标报价低于其成本的除</w:t>
      </w:r>
      <w:bookmarkStart w:id="352" w:name="_Toc144974565"/>
      <w:bookmarkStart w:id="353" w:name="_Toc247514022"/>
      <w:bookmarkStart w:id="354" w:name="_Toc369531577"/>
      <w:bookmarkStart w:id="355" w:name="_Toc152042375"/>
      <w:bookmarkStart w:id="356" w:name="_Toc361508646"/>
      <w:bookmarkStart w:id="357" w:name="_Toc352691533"/>
      <w:bookmarkStart w:id="358" w:name="_Toc300835008"/>
      <w:bookmarkStart w:id="359" w:name="_Toc247527623"/>
      <w:bookmarkStart w:id="360" w:name="_Toc152045598"/>
      <w:bookmarkStart w:id="361" w:name="_Toc384308272"/>
      <w:bookmarkStart w:id="362" w:name="_Toc4497"/>
      <w:r>
        <w:rPr>
          <w:rFonts w:hint="eastAsia" w:ascii="宋体" w:hAnsi="宋体" w:eastAsia="宋体"/>
          <w:color w:val="auto"/>
          <w:highlight w:val="none"/>
        </w:rPr>
        <w:t>外。</w:t>
      </w:r>
      <w:bookmarkEnd w:id="352"/>
      <w:bookmarkEnd w:id="353"/>
      <w:bookmarkEnd w:id="354"/>
      <w:bookmarkEnd w:id="355"/>
      <w:bookmarkEnd w:id="356"/>
      <w:bookmarkEnd w:id="357"/>
      <w:bookmarkEnd w:id="358"/>
      <w:bookmarkEnd w:id="359"/>
      <w:bookmarkEnd w:id="360"/>
      <w:bookmarkEnd w:id="361"/>
      <w:bookmarkEnd w:id="362"/>
      <w:r>
        <w:rPr>
          <w:rFonts w:hint="eastAsia" w:ascii="宋体" w:hAnsi="宋体" w:eastAsia="宋体"/>
          <w:color w:val="auto"/>
          <w:highlight w:val="none"/>
        </w:rPr>
        <w:t>综合评分相等时，以投标报价低的优先；投标报价也相等的，以技术服务方案得分高的优先；如果技术服务方案得分也相等，</w:t>
      </w:r>
      <w:r>
        <w:rPr>
          <w:rFonts w:ascii="宋体" w:hAnsi="宋体" w:eastAsia="宋体"/>
          <w:color w:val="auto"/>
          <w:highlight w:val="none"/>
        </w:rPr>
        <w:t>按照评标办法前附表的规定确定中标候选人顺序。</w:t>
      </w:r>
    </w:p>
    <w:p w14:paraId="2FA5D9B0">
      <w:pPr>
        <w:pStyle w:val="3"/>
        <w:rPr>
          <w:color w:val="auto"/>
          <w:highlight w:val="none"/>
        </w:rPr>
      </w:pPr>
      <w:bookmarkStart w:id="363" w:name="_Toc7455"/>
      <w:bookmarkStart w:id="364" w:name="_Toc138236384"/>
      <w:bookmarkStart w:id="365" w:name="_Toc492300629"/>
      <w:r>
        <w:rPr>
          <w:color w:val="auto"/>
          <w:highlight w:val="none"/>
        </w:rPr>
        <w:t xml:space="preserve">2. </w:t>
      </w:r>
      <w:r>
        <w:rPr>
          <w:rFonts w:hint="eastAsia"/>
          <w:color w:val="auto"/>
          <w:highlight w:val="none"/>
        </w:rPr>
        <w:t>评审标准</w:t>
      </w:r>
      <w:bookmarkEnd w:id="363"/>
      <w:bookmarkEnd w:id="364"/>
      <w:bookmarkEnd w:id="365"/>
    </w:p>
    <w:p w14:paraId="3B72969C">
      <w:pPr>
        <w:pStyle w:val="4"/>
        <w:spacing w:before="0" w:after="0" w:line="360" w:lineRule="auto"/>
        <w:ind w:firstLine="560" w:firstLineChars="200"/>
        <w:rPr>
          <w:rFonts w:ascii="宋体" w:hAnsi="宋体" w:eastAsia="宋体"/>
          <w:color w:val="auto"/>
          <w:highlight w:val="none"/>
        </w:rPr>
      </w:pPr>
      <w:bookmarkStart w:id="366" w:name="_Toc45266456"/>
      <w:bookmarkStart w:id="367" w:name="_Toc138236385"/>
      <w:bookmarkStart w:id="368" w:name="_Toc36466626"/>
      <w:bookmarkStart w:id="369" w:name="_Toc133420530"/>
      <w:bookmarkStart w:id="370" w:name="_Toc3853"/>
      <w:bookmarkStart w:id="371" w:name="_Toc51055774"/>
      <w:bookmarkStart w:id="372" w:name="_Toc492300630"/>
      <w:r>
        <w:rPr>
          <w:rFonts w:ascii="宋体" w:hAnsi="宋体" w:eastAsia="宋体"/>
          <w:color w:val="auto"/>
          <w:highlight w:val="none"/>
        </w:rPr>
        <w:t xml:space="preserve">2.1 </w:t>
      </w:r>
      <w:r>
        <w:rPr>
          <w:rFonts w:hint="eastAsia" w:ascii="宋体" w:hAnsi="宋体" w:eastAsia="宋体"/>
          <w:color w:val="auto"/>
          <w:highlight w:val="none"/>
        </w:rPr>
        <w:t>初步评审标准</w:t>
      </w:r>
      <w:bookmarkEnd w:id="366"/>
      <w:bookmarkEnd w:id="367"/>
      <w:bookmarkEnd w:id="368"/>
      <w:bookmarkEnd w:id="369"/>
      <w:bookmarkEnd w:id="370"/>
      <w:bookmarkEnd w:id="371"/>
      <w:bookmarkEnd w:id="372"/>
    </w:p>
    <w:p w14:paraId="6F3AFDCB">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2.1.1 </w:t>
      </w:r>
      <w:r>
        <w:rPr>
          <w:rFonts w:hint="eastAsia" w:ascii="宋体" w:hAnsi="宋体" w:eastAsia="宋体"/>
          <w:color w:val="auto"/>
          <w:highlight w:val="none"/>
        </w:rPr>
        <w:t>形式评审标准：见评标办法前附表。</w:t>
      </w:r>
    </w:p>
    <w:p w14:paraId="2B05A263">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2.1.2 </w:t>
      </w:r>
      <w:r>
        <w:rPr>
          <w:rFonts w:hint="eastAsia" w:ascii="宋体" w:hAnsi="宋体" w:eastAsia="宋体"/>
          <w:color w:val="auto"/>
          <w:highlight w:val="none"/>
        </w:rPr>
        <w:t>资格评审标准：见评标办法前附表。</w:t>
      </w:r>
    </w:p>
    <w:p w14:paraId="1A7F5665">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2.1.3 </w:t>
      </w:r>
      <w:r>
        <w:rPr>
          <w:rFonts w:hint="eastAsia" w:ascii="宋体" w:hAnsi="宋体" w:eastAsia="宋体"/>
          <w:color w:val="auto"/>
          <w:highlight w:val="none"/>
        </w:rPr>
        <w:t>响应性评审标准：见评标办法前附表。</w:t>
      </w:r>
    </w:p>
    <w:p w14:paraId="1170C28D">
      <w:pPr>
        <w:pStyle w:val="4"/>
        <w:spacing w:before="0" w:after="0" w:line="360" w:lineRule="auto"/>
        <w:ind w:firstLine="560" w:firstLineChars="200"/>
        <w:rPr>
          <w:rFonts w:ascii="宋体" w:hAnsi="宋体" w:eastAsia="宋体"/>
          <w:color w:val="auto"/>
          <w:highlight w:val="none"/>
        </w:rPr>
      </w:pPr>
      <w:bookmarkStart w:id="373" w:name="_Toc492300631"/>
      <w:bookmarkStart w:id="374" w:name="_Toc51055775"/>
      <w:bookmarkStart w:id="375" w:name="_Toc12146"/>
      <w:bookmarkStart w:id="376" w:name="_Toc45266457"/>
      <w:bookmarkStart w:id="377" w:name="_Toc36466627"/>
      <w:bookmarkStart w:id="378" w:name="_Toc138236386"/>
      <w:bookmarkStart w:id="379" w:name="_Toc133420531"/>
      <w:r>
        <w:rPr>
          <w:rFonts w:ascii="宋体" w:hAnsi="宋体" w:eastAsia="宋体"/>
          <w:color w:val="auto"/>
          <w:highlight w:val="none"/>
        </w:rPr>
        <w:t xml:space="preserve">2.2 </w:t>
      </w:r>
      <w:r>
        <w:rPr>
          <w:rFonts w:hint="eastAsia" w:ascii="宋体" w:hAnsi="宋体" w:eastAsia="宋体"/>
          <w:color w:val="auto"/>
          <w:highlight w:val="none"/>
        </w:rPr>
        <w:t>分值构成与评分标准</w:t>
      </w:r>
      <w:bookmarkEnd w:id="373"/>
      <w:bookmarkEnd w:id="374"/>
      <w:bookmarkEnd w:id="375"/>
      <w:bookmarkEnd w:id="376"/>
      <w:bookmarkEnd w:id="377"/>
      <w:bookmarkEnd w:id="378"/>
      <w:bookmarkEnd w:id="379"/>
    </w:p>
    <w:p w14:paraId="5CE53EEF">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2.2.1 </w:t>
      </w:r>
      <w:r>
        <w:rPr>
          <w:rFonts w:hint="eastAsia" w:ascii="宋体" w:hAnsi="宋体" w:eastAsia="宋体"/>
          <w:color w:val="auto"/>
          <w:highlight w:val="none"/>
        </w:rPr>
        <w:t>分值构成</w:t>
      </w:r>
    </w:p>
    <w:p w14:paraId="5A6A2055">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1）商务部分：见评标办法前附表；</w:t>
      </w:r>
    </w:p>
    <w:p w14:paraId="04198D28">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2）技术服务方案部分：见评标办法前附表；</w:t>
      </w:r>
    </w:p>
    <w:p w14:paraId="79C88B4C">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3）投标报价：见评标办法前附表；</w:t>
      </w:r>
    </w:p>
    <w:p w14:paraId="47C150A0">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2.2.2 </w:t>
      </w:r>
      <w:r>
        <w:rPr>
          <w:rFonts w:hint="eastAsia" w:ascii="宋体" w:hAnsi="宋体" w:eastAsia="宋体"/>
          <w:color w:val="auto"/>
          <w:highlight w:val="none"/>
        </w:rPr>
        <w:t>评标基准价计算</w:t>
      </w:r>
    </w:p>
    <w:p w14:paraId="578133A8">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评标基准价计算方法：见评标办法前附表。</w:t>
      </w:r>
    </w:p>
    <w:p w14:paraId="36A91EC9">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2.2.3 </w:t>
      </w:r>
      <w:r>
        <w:rPr>
          <w:rFonts w:hint="eastAsia" w:ascii="宋体" w:hAnsi="宋体" w:eastAsia="宋体"/>
          <w:color w:val="auto"/>
          <w:highlight w:val="none"/>
        </w:rPr>
        <w:t>投标报价的偏差率计算</w:t>
      </w:r>
    </w:p>
    <w:p w14:paraId="5CBE6BAF">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投标报价的偏差率计算公式：见评标办法前附表。</w:t>
      </w:r>
    </w:p>
    <w:p w14:paraId="7F044886">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2.2.4 </w:t>
      </w:r>
      <w:r>
        <w:rPr>
          <w:rFonts w:hint="eastAsia" w:ascii="宋体" w:hAnsi="宋体" w:eastAsia="宋体"/>
          <w:color w:val="auto"/>
          <w:highlight w:val="none"/>
        </w:rPr>
        <w:t>评分标准</w:t>
      </w:r>
    </w:p>
    <w:p w14:paraId="11588758">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1）商务部分评分标准：见评标办法前附表；</w:t>
      </w:r>
    </w:p>
    <w:p w14:paraId="24CCCC59">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2）技术服务方案评分标准：见评标办法前附表；</w:t>
      </w:r>
    </w:p>
    <w:p w14:paraId="245A4ABD">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3）投标报价评分标准：见评标办法前附表；</w:t>
      </w:r>
    </w:p>
    <w:p w14:paraId="02C28F0B">
      <w:pPr>
        <w:pStyle w:val="3"/>
        <w:rPr>
          <w:color w:val="auto"/>
          <w:highlight w:val="none"/>
        </w:rPr>
      </w:pPr>
      <w:bookmarkStart w:id="380" w:name="_Toc492300632"/>
      <w:bookmarkStart w:id="381" w:name="_Toc138236387"/>
      <w:bookmarkStart w:id="382" w:name="_Toc21164"/>
      <w:r>
        <w:rPr>
          <w:color w:val="auto"/>
          <w:highlight w:val="none"/>
        </w:rPr>
        <w:t xml:space="preserve">3. </w:t>
      </w:r>
      <w:r>
        <w:rPr>
          <w:rFonts w:hint="eastAsia"/>
          <w:color w:val="auto"/>
          <w:highlight w:val="none"/>
        </w:rPr>
        <w:t>评标程序</w:t>
      </w:r>
      <w:bookmarkEnd w:id="380"/>
      <w:bookmarkEnd w:id="381"/>
      <w:bookmarkEnd w:id="382"/>
    </w:p>
    <w:p w14:paraId="060C627F">
      <w:pPr>
        <w:pStyle w:val="4"/>
        <w:spacing w:before="0" w:after="0" w:line="360" w:lineRule="auto"/>
        <w:ind w:firstLine="560" w:firstLineChars="200"/>
        <w:rPr>
          <w:rFonts w:ascii="宋体" w:hAnsi="宋体" w:eastAsia="宋体"/>
          <w:color w:val="auto"/>
          <w:highlight w:val="none"/>
        </w:rPr>
      </w:pPr>
      <w:bookmarkStart w:id="383" w:name="_Toc138236388"/>
      <w:bookmarkStart w:id="384" w:name="_Toc45266459"/>
      <w:bookmarkStart w:id="385" w:name="_Toc133420533"/>
      <w:bookmarkStart w:id="386" w:name="_Toc26355"/>
      <w:bookmarkStart w:id="387" w:name="_Toc492300633"/>
      <w:bookmarkStart w:id="388" w:name="_Toc51055777"/>
      <w:bookmarkStart w:id="389" w:name="_Toc36466629"/>
      <w:r>
        <w:rPr>
          <w:rFonts w:ascii="宋体" w:hAnsi="宋体" w:eastAsia="宋体"/>
          <w:color w:val="auto"/>
          <w:highlight w:val="none"/>
        </w:rPr>
        <w:t xml:space="preserve">3.1 </w:t>
      </w:r>
      <w:r>
        <w:rPr>
          <w:rFonts w:hint="eastAsia" w:ascii="宋体" w:hAnsi="宋体" w:eastAsia="宋体"/>
          <w:color w:val="auto"/>
          <w:highlight w:val="none"/>
        </w:rPr>
        <w:t>初步评审</w:t>
      </w:r>
      <w:bookmarkEnd w:id="383"/>
      <w:bookmarkEnd w:id="384"/>
      <w:bookmarkEnd w:id="385"/>
      <w:bookmarkEnd w:id="386"/>
      <w:bookmarkEnd w:id="387"/>
      <w:bookmarkEnd w:id="388"/>
      <w:bookmarkEnd w:id="389"/>
    </w:p>
    <w:p w14:paraId="044B0D11">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3.1.1 </w:t>
      </w:r>
      <w:r>
        <w:rPr>
          <w:rFonts w:hint="eastAsia" w:ascii="宋体" w:hAnsi="宋体" w:eastAsia="宋体"/>
          <w:color w:val="auto"/>
          <w:highlight w:val="none"/>
        </w:rPr>
        <w:t>评标委员会可以要求投标人提交第二章“投标人须知”规定的有关证明和证件的原件，以便核验。评标委员会依据本章第</w:t>
      </w:r>
      <w:r>
        <w:rPr>
          <w:rFonts w:ascii="宋体" w:hAnsi="宋体" w:eastAsia="宋体"/>
          <w:color w:val="auto"/>
          <w:highlight w:val="none"/>
        </w:rPr>
        <w:t>2.1款规定的标准对投标文件进行初步评审。有一项不符合评审标准的，评标委员会应当否决其投标。</w:t>
      </w:r>
    </w:p>
    <w:p w14:paraId="1EAC9A2F">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3.1.2 </w:t>
      </w:r>
      <w:r>
        <w:rPr>
          <w:rFonts w:hint="eastAsia" w:ascii="宋体" w:hAnsi="宋体" w:eastAsia="宋体"/>
          <w:color w:val="auto"/>
          <w:highlight w:val="none"/>
        </w:rPr>
        <w:t>投标人有以下情形之一的，评标委员会应当否决其投标：</w:t>
      </w:r>
    </w:p>
    <w:p w14:paraId="3917A06A">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1）投标文件没有对招标文件的实质性要求和条件</w:t>
      </w:r>
      <w:r>
        <w:rPr>
          <w:rFonts w:hint="eastAsia" w:ascii="宋体" w:hAnsi="宋体" w:eastAsia="宋体"/>
          <w:color w:val="auto"/>
          <w:highlight w:val="none"/>
        </w:rPr>
        <w:t>作出响应，或者对招标文件的偏差超出招标文件规定的偏差范围或最高项数；</w:t>
      </w:r>
    </w:p>
    <w:p w14:paraId="5B2B58DA">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2）有串通投标、弄虚作假、行贿等违法行为。</w:t>
      </w:r>
    </w:p>
    <w:p w14:paraId="390AD896">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3.1.3 </w:t>
      </w:r>
      <w:r>
        <w:rPr>
          <w:rFonts w:hint="eastAsia" w:ascii="宋体" w:hAnsi="宋体" w:eastAsia="宋体"/>
          <w:color w:val="auto"/>
          <w:highlight w:val="none"/>
        </w:rPr>
        <w:t>投标报价有算术错误及其他错误的，评标委员会按以下原则要求投标人对投标报价进</w:t>
      </w:r>
      <w:bookmarkStart w:id="390" w:name="_Toc361508651"/>
      <w:bookmarkStart w:id="391" w:name="_Toc247514027"/>
      <w:bookmarkStart w:id="392" w:name="_Toc300835013"/>
      <w:bookmarkStart w:id="393" w:name="_Toc2907"/>
      <w:bookmarkStart w:id="394" w:name="_Toc247527628"/>
      <w:bookmarkStart w:id="395" w:name="_Toc144974570"/>
      <w:bookmarkStart w:id="396" w:name="_Toc152042380"/>
      <w:bookmarkStart w:id="397" w:name="_Toc152045603"/>
      <w:bookmarkStart w:id="398" w:name="_Toc369531582"/>
      <w:bookmarkStart w:id="399" w:name="_Toc384308277"/>
      <w:bookmarkStart w:id="400" w:name="_Toc352691538"/>
      <w:r>
        <w:rPr>
          <w:rFonts w:hint="eastAsia" w:ascii="宋体" w:hAnsi="宋体" w:eastAsia="宋体"/>
          <w:color w:val="auto"/>
          <w:highlight w:val="none"/>
        </w:rPr>
        <w:t>行修正，并要求投标人书面澄清确认。</w:t>
      </w:r>
      <w:bookmarkEnd w:id="390"/>
      <w:bookmarkEnd w:id="391"/>
      <w:bookmarkEnd w:id="392"/>
      <w:bookmarkEnd w:id="393"/>
      <w:bookmarkEnd w:id="394"/>
      <w:bookmarkEnd w:id="395"/>
      <w:bookmarkEnd w:id="396"/>
      <w:bookmarkEnd w:id="397"/>
      <w:bookmarkEnd w:id="398"/>
      <w:bookmarkEnd w:id="399"/>
      <w:bookmarkEnd w:id="400"/>
      <w:r>
        <w:rPr>
          <w:rFonts w:hint="eastAsia" w:ascii="宋体" w:hAnsi="宋体" w:eastAsia="宋体"/>
          <w:color w:val="auto"/>
          <w:highlight w:val="none"/>
        </w:rPr>
        <w:t>投标人拒不澄清确认的，评标委员会应当否决其投标：</w:t>
      </w:r>
    </w:p>
    <w:p w14:paraId="207F89C5">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1）投标文件中的大写金额与小写金额不一致的，以大写金额为准；</w:t>
      </w:r>
    </w:p>
    <w:p w14:paraId="74575B70">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2）总价金额与单价金额不一致的，以单价金额为准，但单价金额小数点有明显错误的除外。</w:t>
      </w:r>
    </w:p>
    <w:p w14:paraId="74A51413">
      <w:pPr>
        <w:pStyle w:val="4"/>
        <w:spacing w:before="0" w:after="0" w:line="360" w:lineRule="auto"/>
        <w:ind w:firstLine="560" w:firstLineChars="200"/>
        <w:rPr>
          <w:rFonts w:ascii="宋体" w:hAnsi="宋体" w:eastAsia="宋体"/>
          <w:color w:val="auto"/>
          <w:highlight w:val="none"/>
        </w:rPr>
      </w:pPr>
      <w:bookmarkStart w:id="401" w:name="_Toc20142"/>
      <w:bookmarkStart w:id="402" w:name="_Toc138236389"/>
      <w:bookmarkStart w:id="403" w:name="_Toc45266460"/>
      <w:bookmarkStart w:id="404" w:name="_Toc492300634"/>
      <w:bookmarkStart w:id="405" w:name="_Toc133420534"/>
      <w:bookmarkStart w:id="406" w:name="_Toc51055778"/>
      <w:bookmarkStart w:id="407" w:name="_Toc36466630"/>
      <w:r>
        <w:rPr>
          <w:rFonts w:ascii="宋体" w:hAnsi="宋体" w:eastAsia="宋体"/>
          <w:color w:val="auto"/>
          <w:highlight w:val="none"/>
        </w:rPr>
        <w:t xml:space="preserve">3.2 </w:t>
      </w:r>
      <w:r>
        <w:rPr>
          <w:rFonts w:hint="eastAsia" w:ascii="宋体" w:hAnsi="宋体" w:eastAsia="宋体"/>
          <w:color w:val="auto"/>
          <w:highlight w:val="none"/>
        </w:rPr>
        <w:t>详细评审</w:t>
      </w:r>
      <w:bookmarkEnd w:id="401"/>
      <w:bookmarkEnd w:id="402"/>
      <w:bookmarkEnd w:id="403"/>
      <w:bookmarkEnd w:id="404"/>
      <w:bookmarkEnd w:id="405"/>
      <w:bookmarkEnd w:id="406"/>
      <w:bookmarkEnd w:id="407"/>
    </w:p>
    <w:p w14:paraId="1E60CC4E">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3.2.1 </w:t>
      </w:r>
      <w:r>
        <w:rPr>
          <w:rFonts w:hint="eastAsia" w:ascii="宋体" w:hAnsi="宋体" w:eastAsia="宋体"/>
          <w:color w:val="auto"/>
          <w:highlight w:val="none"/>
        </w:rPr>
        <w:t>评标委员会按本章第</w:t>
      </w:r>
      <w:r>
        <w:rPr>
          <w:rFonts w:ascii="宋体" w:hAnsi="宋体" w:eastAsia="宋体"/>
          <w:color w:val="auto"/>
          <w:highlight w:val="none"/>
        </w:rPr>
        <w:t>2.2款规定的量化因素和分值进行打分，并计算出综合评估得分。</w:t>
      </w:r>
    </w:p>
    <w:p w14:paraId="3C538511">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1）按本章第2.2.4（1）目规定的评审因素和分值对商务部分计算出得分A；</w:t>
      </w:r>
    </w:p>
    <w:p w14:paraId="2E17F646">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2）按本章第2.2.4（2）目规定的评审因素和分值对技术服务方案计算出得分B；</w:t>
      </w:r>
    </w:p>
    <w:p w14:paraId="3651BFCB">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w:t>
      </w:r>
      <w:r>
        <w:rPr>
          <w:rFonts w:ascii="宋体" w:hAnsi="宋体" w:eastAsia="宋体"/>
          <w:color w:val="auto"/>
          <w:highlight w:val="none"/>
        </w:rPr>
        <w:t>3）按本章第2.2.4（3）目规定的评审因素和</w:t>
      </w:r>
      <w:bookmarkStart w:id="408" w:name="_Toc352691539"/>
      <w:bookmarkStart w:id="409" w:name="_Toc144974571"/>
      <w:bookmarkStart w:id="410" w:name="_Toc24330"/>
      <w:bookmarkStart w:id="411" w:name="_Toc384308278"/>
      <w:bookmarkStart w:id="412" w:name="_Toc152042381"/>
      <w:bookmarkStart w:id="413" w:name="_Toc300835014"/>
      <w:bookmarkStart w:id="414" w:name="_Toc247514028"/>
      <w:bookmarkStart w:id="415" w:name="_Toc247527629"/>
      <w:bookmarkStart w:id="416" w:name="_Toc369531583"/>
      <w:bookmarkStart w:id="417" w:name="_Toc361508652"/>
      <w:bookmarkStart w:id="418" w:name="_Toc152045604"/>
      <w:r>
        <w:rPr>
          <w:rFonts w:hint="eastAsia" w:ascii="宋体" w:hAnsi="宋体" w:eastAsia="宋体"/>
          <w:color w:val="auto"/>
          <w:highlight w:val="none"/>
        </w:rPr>
        <w:t>分值对</w:t>
      </w:r>
      <w:bookmarkEnd w:id="408"/>
      <w:bookmarkEnd w:id="409"/>
      <w:bookmarkEnd w:id="410"/>
      <w:bookmarkEnd w:id="411"/>
      <w:bookmarkEnd w:id="412"/>
      <w:bookmarkEnd w:id="413"/>
      <w:bookmarkEnd w:id="414"/>
      <w:bookmarkEnd w:id="415"/>
      <w:bookmarkEnd w:id="416"/>
      <w:bookmarkEnd w:id="417"/>
      <w:bookmarkEnd w:id="418"/>
      <w:r>
        <w:rPr>
          <w:rFonts w:hint="eastAsia" w:ascii="宋体" w:hAnsi="宋体" w:eastAsia="宋体"/>
          <w:color w:val="auto"/>
          <w:highlight w:val="none"/>
        </w:rPr>
        <w:t>投标报价计</w:t>
      </w:r>
      <w:bookmarkStart w:id="419" w:name="_Toc152045605"/>
      <w:bookmarkStart w:id="420" w:name="_Toc361508653"/>
      <w:bookmarkStart w:id="421" w:name="_Toc144974572"/>
      <w:bookmarkStart w:id="422" w:name="_Toc18141"/>
      <w:bookmarkStart w:id="423" w:name="_Toc384308279"/>
      <w:bookmarkStart w:id="424" w:name="_Toc369531584"/>
      <w:bookmarkStart w:id="425" w:name="_Toc352691540"/>
      <w:bookmarkStart w:id="426" w:name="_Toc247527630"/>
      <w:bookmarkStart w:id="427" w:name="_Toc300835015"/>
      <w:bookmarkStart w:id="428" w:name="_Toc152042382"/>
      <w:bookmarkStart w:id="429" w:name="_Toc247514029"/>
      <w:r>
        <w:rPr>
          <w:rFonts w:hint="eastAsia" w:ascii="宋体" w:hAnsi="宋体" w:eastAsia="宋体"/>
          <w:color w:val="auto"/>
          <w:highlight w:val="none"/>
        </w:rPr>
        <w:t>算出得分</w:t>
      </w:r>
      <w:r>
        <w:rPr>
          <w:rFonts w:ascii="宋体" w:hAnsi="宋体" w:eastAsia="宋体"/>
          <w:color w:val="auto"/>
          <w:highlight w:val="none"/>
        </w:rPr>
        <w:t>C；</w:t>
      </w:r>
    </w:p>
    <w:bookmarkEnd w:id="419"/>
    <w:bookmarkEnd w:id="420"/>
    <w:bookmarkEnd w:id="421"/>
    <w:bookmarkEnd w:id="422"/>
    <w:bookmarkEnd w:id="423"/>
    <w:bookmarkEnd w:id="424"/>
    <w:bookmarkEnd w:id="425"/>
    <w:bookmarkEnd w:id="426"/>
    <w:bookmarkEnd w:id="427"/>
    <w:bookmarkEnd w:id="428"/>
    <w:bookmarkEnd w:id="429"/>
    <w:p w14:paraId="5D01A80F">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3.2.2 </w:t>
      </w:r>
      <w:r>
        <w:rPr>
          <w:rFonts w:hint="eastAsia" w:ascii="宋体" w:hAnsi="宋体" w:eastAsia="宋体"/>
          <w:color w:val="auto"/>
          <w:highlight w:val="none"/>
        </w:rPr>
        <w:t>评分分值计算保留小数点后两位，小数点后第三位“四舍五入”。</w:t>
      </w:r>
    </w:p>
    <w:p w14:paraId="48EADBA6">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3.2.3 </w:t>
      </w:r>
      <w:r>
        <w:rPr>
          <w:rFonts w:hint="eastAsia" w:ascii="宋体" w:hAnsi="宋体" w:eastAsia="宋体"/>
          <w:color w:val="auto"/>
          <w:highlight w:val="none"/>
        </w:rPr>
        <w:t>投标人</w:t>
      </w:r>
      <w:r>
        <w:rPr>
          <w:rFonts w:hint="eastAsia" w:ascii="宋体" w:hAnsi="宋体" w:eastAsia="宋体"/>
          <w:color w:val="auto"/>
          <w:szCs w:val="21"/>
          <w:highlight w:val="none"/>
        </w:rPr>
        <w:t>综合</w:t>
      </w:r>
      <w:r>
        <w:rPr>
          <w:rFonts w:hint="eastAsia" w:ascii="宋体" w:hAnsi="宋体" w:eastAsia="宋体"/>
          <w:color w:val="auto"/>
          <w:highlight w:val="none"/>
        </w:rPr>
        <w:t>得分</w:t>
      </w:r>
      <w:r>
        <w:rPr>
          <w:rFonts w:ascii="宋体" w:hAnsi="宋体" w:eastAsia="宋体"/>
          <w:color w:val="auto"/>
          <w:highlight w:val="none"/>
        </w:rPr>
        <w:t>=A+B+C</w:t>
      </w:r>
      <w:r>
        <w:rPr>
          <w:rFonts w:hint="eastAsia" w:ascii="宋体" w:hAnsi="宋体" w:eastAsia="宋体"/>
          <w:color w:val="auto"/>
          <w:highlight w:val="none"/>
        </w:rPr>
        <w:t>。</w:t>
      </w:r>
    </w:p>
    <w:p w14:paraId="70F908B1">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3.2.4 </w:t>
      </w:r>
      <w:r>
        <w:rPr>
          <w:rFonts w:hint="eastAsia" w:ascii="宋体" w:hAnsi="宋体" w:eastAsia="宋体"/>
          <w:color w:val="auto"/>
          <w:highlight w:val="none"/>
        </w:rPr>
        <w:t>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14:paraId="6F2BC9E7">
      <w:pPr>
        <w:pStyle w:val="4"/>
        <w:spacing w:before="0" w:after="0" w:line="360" w:lineRule="auto"/>
        <w:ind w:firstLine="560" w:firstLineChars="200"/>
        <w:rPr>
          <w:rFonts w:ascii="宋体" w:hAnsi="宋体" w:eastAsia="宋体"/>
          <w:color w:val="auto"/>
          <w:highlight w:val="none"/>
        </w:rPr>
      </w:pPr>
      <w:bookmarkStart w:id="430" w:name="_Toc36466631"/>
      <w:bookmarkStart w:id="431" w:name="_Toc51055779"/>
      <w:bookmarkStart w:id="432" w:name="_Toc133420535"/>
      <w:bookmarkStart w:id="433" w:name="_Toc138236390"/>
      <w:bookmarkStart w:id="434" w:name="_Toc492300635"/>
      <w:bookmarkStart w:id="435" w:name="_Toc45266461"/>
      <w:bookmarkStart w:id="436" w:name="_Toc3703"/>
      <w:r>
        <w:rPr>
          <w:rFonts w:ascii="宋体" w:hAnsi="宋体" w:eastAsia="宋体"/>
          <w:color w:val="auto"/>
          <w:highlight w:val="none"/>
        </w:rPr>
        <w:t xml:space="preserve">3.3 </w:t>
      </w:r>
      <w:r>
        <w:rPr>
          <w:rFonts w:hint="eastAsia" w:ascii="宋体" w:hAnsi="宋体" w:eastAsia="宋体"/>
          <w:color w:val="auto"/>
          <w:highlight w:val="none"/>
        </w:rPr>
        <w:t>投标文件的澄清</w:t>
      </w:r>
      <w:bookmarkEnd w:id="430"/>
      <w:bookmarkEnd w:id="431"/>
      <w:bookmarkEnd w:id="432"/>
      <w:bookmarkEnd w:id="433"/>
      <w:bookmarkEnd w:id="434"/>
      <w:bookmarkEnd w:id="435"/>
      <w:bookmarkEnd w:id="436"/>
    </w:p>
    <w:p w14:paraId="4DEFA7C4">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3.3.1 </w:t>
      </w:r>
      <w:r>
        <w:rPr>
          <w:rFonts w:hint="eastAsia" w:ascii="宋体" w:hAnsi="宋体" w:eastAsia="宋体"/>
          <w:color w:val="auto"/>
          <w:highlight w:val="none"/>
        </w:rPr>
        <w:t>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14:paraId="2D0DBE9E">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3.3.2 </w:t>
      </w:r>
      <w:r>
        <w:rPr>
          <w:rFonts w:hint="eastAsia" w:ascii="宋体" w:hAnsi="宋体" w:eastAsia="宋体"/>
          <w:color w:val="auto"/>
          <w:highlight w:val="none"/>
        </w:rPr>
        <w:t>澄清、说明或补正不得超出投标文件的范围且不得改变投标文件的实质性内容，并构成投标文件的组成部分。</w:t>
      </w:r>
    </w:p>
    <w:p w14:paraId="3A35FB85">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3.3.3 </w:t>
      </w:r>
      <w:r>
        <w:rPr>
          <w:rFonts w:hint="eastAsia" w:ascii="宋体" w:hAnsi="宋体" w:eastAsia="宋体"/>
          <w:color w:val="auto"/>
          <w:highlight w:val="none"/>
        </w:rPr>
        <w:t>评标委员会对投标人提交的澄清、说明或补正有疑问的，可以要求投标人进一步澄清、说明或补正，直至满足评标委员会的要求。</w:t>
      </w:r>
    </w:p>
    <w:p w14:paraId="61603DBA">
      <w:pPr>
        <w:pStyle w:val="4"/>
        <w:spacing w:before="0" w:after="0" w:line="360" w:lineRule="auto"/>
        <w:ind w:firstLine="560" w:firstLineChars="200"/>
        <w:rPr>
          <w:rFonts w:ascii="宋体" w:hAnsi="宋体" w:eastAsia="宋体"/>
          <w:color w:val="auto"/>
          <w:highlight w:val="none"/>
        </w:rPr>
      </w:pPr>
      <w:bookmarkStart w:id="437" w:name="_Toc133420536"/>
      <w:bookmarkStart w:id="438" w:name="_Toc51055780"/>
      <w:bookmarkStart w:id="439" w:name="_Toc492300636"/>
      <w:bookmarkStart w:id="440" w:name="_Toc138236391"/>
      <w:bookmarkStart w:id="441" w:name="_Toc31770"/>
      <w:bookmarkStart w:id="442" w:name="_Toc36466632"/>
      <w:bookmarkStart w:id="443" w:name="_Toc45266462"/>
      <w:r>
        <w:rPr>
          <w:rFonts w:ascii="宋体" w:hAnsi="宋体" w:eastAsia="宋体"/>
          <w:color w:val="auto"/>
          <w:highlight w:val="none"/>
        </w:rPr>
        <w:t xml:space="preserve">3.4 </w:t>
      </w:r>
      <w:r>
        <w:rPr>
          <w:rFonts w:hint="eastAsia" w:ascii="宋体" w:hAnsi="宋体" w:eastAsia="宋体"/>
          <w:color w:val="auto"/>
          <w:highlight w:val="none"/>
        </w:rPr>
        <w:t>评标结果</w:t>
      </w:r>
      <w:bookmarkEnd w:id="437"/>
      <w:bookmarkEnd w:id="438"/>
      <w:bookmarkEnd w:id="439"/>
      <w:bookmarkEnd w:id="440"/>
      <w:bookmarkEnd w:id="441"/>
      <w:bookmarkEnd w:id="442"/>
      <w:bookmarkEnd w:id="443"/>
    </w:p>
    <w:p w14:paraId="4630F8B0">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3.4.1 </w:t>
      </w:r>
      <w:r>
        <w:rPr>
          <w:rFonts w:hint="eastAsia" w:ascii="宋体" w:hAnsi="宋体" w:eastAsia="宋体"/>
          <w:color w:val="auto"/>
          <w:highlight w:val="none"/>
        </w:rPr>
        <w:t>除第二章“投标人须知”前附表授权直接确定中标人外，评标委员会按照得分由高到低的顺序推荐中标候选人，并标明排序。</w:t>
      </w:r>
    </w:p>
    <w:p w14:paraId="4E3EC883">
      <w:pPr>
        <w:spacing w:line="360" w:lineRule="auto"/>
        <w:ind w:firstLine="420" w:firstLineChars="200"/>
        <w:rPr>
          <w:rFonts w:ascii="宋体" w:hAnsi="宋体" w:eastAsia="宋体"/>
          <w:color w:val="auto"/>
          <w:highlight w:val="none"/>
        </w:rPr>
      </w:pPr>
      <w:r>
        <w:rPr>
          <w:rFonts w:ascii="宋体" w:hAnsi="宋体" w:eastAsia="宋体"/>
          <w:color w:val="auto"/>
          <w:highlight w:val="none"/>
        </w:rPr>
        <w:t xml:space="preserve">3.4.2 </w:t>
      </w:r>
      <w:r>
        <w:rPr>
          <w:rFonts w:hint="eastAsia" w:ascii="宋体" w:hAnsi="宋体" w:eastAsia="宋体"/>
          <w:color w:val="auto"/>
          <w:highlight w:val="none"/>
        </w:rPr>
        <w:t>评标委员会完成评标后，应当向招标人提交书面评标报告和中标候选人名单。</w:t>
      </w:r>
    </w:p>
    <w:p w14:paraId="6EC8EED4">
      <w:pPr>
        <w:pStyle w:val="3"/>
        <w:rPr>
          <w:color w:val="auto"/>
          <w:highlight w:val="none"/>
        </w:rPr>
        <w:sectPr>
          <w:pgSz w:w="11906" w:h="16838"/>
          <w:pgMar w:top="1440" w:right="1800" w:bottom="1440" w:left="1800" w:header="720" w:footer="720" w:gutter="0"/>
          <w:pgBorders>
            <w:top w:val="none" w:sz="0" w:space="0"/>
            <w:left w:val="none" w:sz="0" w:space="0"/>
            <w:bottom w:val="none" w:sz="0" w:space="0"/>
            <w:right w:val="none" w:sz="0" w:space="0"/>
          </w:pgBorders>
          <w:cols w:space="720" w:num="1"/>
          <w:docGrid w:linePitch="286" w:charSpace="0"/>
        </w:sectPr>
      </w:pPr>
    </w:p>
    <w:p w14:paraId="105AD41C">
      <w:pPr>
        <w:pStyle w:val="2"/>
        <w:rPr>
          <w:color w:val="auto"/>
          <w:highlight w:val="none"/>
        </w:rPr>
      </w:pPr>
      <w:bookmarkStart w:id="444" w:name="_Toc138236392"/>
      <w:bookmarkStart w:id="445" w:name="_Toc13931"/>
      <w:r>
        <w:rPr>
          <w:rFonts w:hint="eastAsia"/>
          <w:color w:val="auto"/>
          <w:highlight w:val="none"/>
        </w:rPr>
        <w:t>第四章</w:t>
      </w:r>
      <w:r>
        <w:rPr>
          <w:color w:val="auto"/>
          <w:highlight w:val="none"/>
        </w:rPr>
        <w:t xml:space="preserve"> </w:t>
      </w:r>
      <w:r>
        <w:rPr>
          <w:rFonts w:hint="eastAsia"/>
          <w:color w:val="auto"/>
          <w:highlight w:val="none"/>
        </w:rPr>
        <w:t>合同条款及格式</w:t>
      </w:r>
      <w:bookmarkEnd w:id="444"/>
      <w:bookmarkEnd w:id="445"/>
    </w:p>
    <w:p w14:paraId="2D324EA8">
      <w:pPr>
        <w:rPr>
          <w:rFonts w:ascii="宋体" w:hAnsi="宋体" w:eastAsia="宋体"/>
          <w:color w:val="auto"/>
          <w:highlight w:val="none"/>
        </w:rPr>
      </w:pPr>
      <w:bookmarkStart w:id="446" w:name="_Toc246996338"/>
      <w:bookmarkStart w:id="447" w:name="_Toc179632787"/>
      <w:bookmarkStart w:id="448" w:name="_Toc247085853"/>
      <w:bookmarkStart w:id="449" w:name="_Toc246997081"/>
      <w:bookmarkStart w:id="450" w:name="_Toc247527798"/>
      <w:bookmarkStart w:id="451" w:name="_Toc152042388"/>
      <w:bookmarkStart w:id="452" w:name="_Toc300835199"/>
      <w:bookmarkStart w:id="453" w:name="_Toc152045610"/>
      <w:bookmarkStart w:id="454" w:name="_Toc144974578"/>
      <w:bookmarkStart w:id="455" w:name="_Toc152042549"/>
      <w:bookmarkStart w:id="456" w:name="_Toc184635122"/>
      <w:bookmarkStart w:id="457" w:name="_Toc247514197"/>
      <w:bookmarkStart w:id="458" w:name="_Toc144974829"/>
    </w:p>
    <w:p w14:paraId="34582DD1">
      <w:pPr>
        <w:ind w:firstLine="0" w:firstLineChars="0"/>
        <w:jc w:val="center"/>
        <w:rPr>
          <w:rFonts w:hint="eastAsia" w:ascii="宋体" w:hAnsi="宋体"/>
          <w:b/>
          <w:color w:val="auto"/>
          <w:sz w:val="28"/>
          <w:szCs w:val="28"/>
          <w:highlight w:val="none"/>
        </w:rPr>
      </w:pPr>
      <w:r>
        <w:rPr>
          <w:rFonts w:hint="eastAsia" w:ascii="宋体" w:hAnsi="宋体"/>
          <w:b/>
          <w:color w:val="auto"/>
          <w:sz w:val="28"/>
          <w:szCs w:val="28"/>
          <w:highlight w:val="none"/>
        </w:rPr>
        <w:t>广州国际文化中心营销策划顾问及首席租赁代理</w:t>
      </w:r>
    </w:p>
    <w:p w14:paraId="44FA0D93">
      <w:pPr>
        <w:ind w:firstLine="0" w:firstLineChars="0"/>
        <w:jc w:val="center"/>
        <w:rPr>
          <w:rFonts w:hint="eastAsia" w:ascii="宋体" w:hAnsi="宋体"/>
          <w:color w:val="auto"/>
          <w:sz w:val="28"/>
          <w:szCs w:val="28"/>
          <w:highlight w:val="none"/>
        </w:rPr>
      </w:pPr>
      <w:r>
        <w:rPr>
          <w:rFonts w:hint="eastAsia" w:ascii="宋体" w:hAnsi="宋体"/>
          <w:b/>
          <w:color w:val="auto"/>
          <w:sz w:val="28"/>
          <w:szCs w:val="28"/>
          <w:highlight w:val="none"/>
        </w:rPr>
        <w:t>服务合同</w:t>
      </w:r>
    </w:p>
    <w:p w14:paraId="7F225ADB">
      <w:pPr>
        <w:jc w:val="center"/>
        <w:rPr>
          <w:rFonts w:hint="eastAsia" w:ascii="宋体" w:hAnsi="宋体"/>
          <w:b/>
          <w:color w:val="auto"/>
          <w:sz w:val="36"/>
          <w:szCs w:val="28"/>
          <w:highlight w:val="none"/>
        </w:rPr>
      </w:pPr>
    </w:p>
    <w:p w14:paraId="7B294B55">
      <w:pPr>
        <w:spacing w:before="93" w:beforeLines="30" w:line="360" w:lineRule="auto"/>
        <w:jc w:val="left"/>
        <w:rPr>
          <w:rFonts w:hint="eastAsia" w:ascii="宋体" w:hAnsi="宋体"/>
          <w:color w:val="auto"/>
          <w:szCs w:val="21"/>
          <w:highlight w:val="none"/>
        </w:rPr>
      </w:pPr>
      <w:r>
        <w:rPr>
          <w:rFonts w:hint="eastAsia" w:ascii="宋体" w:hAnsi="宋体"/>
          <w:color w:val="auto"/>
          <w:szCs w:val="21"/>
          <w:highlight w:val="none"/>
        </w:rPr>
        <w:t xml:space="preserve">甲方： </w:t>
      </w:r>
      <w:r>
        <w:rPr>
          <w:rFonts w:hint="eastAsia" w:ascii="宋体" w:hAnsi="宋体"/>
          <w:color w:val="auto"/>
          <w:szCs w:val="21"/>
          <w:highlight w:val="none"/>
          <w:u w:val="single"/>
          <w:lang w:eastAsia="zh-CN"/>
        </w:rPr>
        <w:t>广东南传广场开发有限公司</w:t>
      </w:r>
      <w:r>
        <w:rPr>
          <w:rFonts w:hint="eastAsia" w:ascii="宋体" w:hAnsi="宋体"/>
          <w:color w:val="auto"/>
          <w:szCs w:val="21"/>
          <w:highlight w:val="none"/>
        </w:rPr>
        <w:t>（以下简称“甲方”）</w:t>
      </w:r>
    </w:p>
    <w:p w14:paraId="07F488C9">
      <w:pPr>
        <w:spacing w:before="93" w:beforeLines="30" w:line="360" w:lineRule="auto"/>
        <w:jc w:val="left"/>
        <w:rPr>
          <w:rFonts w:hint="eastAsia" w:ascii="宋体" w:hAnsi="宋体"/>
          <w:color w:val="auto"/>
          <w:szCs w:val="21"/>
          <w:highlight w:val="none"/>
        </w:rPr>
      </w:pPr>
      <w:r>
        <w:rPr>
          <w:rFonts w:hint="eastAsia" w:ascii="宋体" w:hAnsi="宋体"/>
          <w:color w:val="auto"/>
          <w:szCs w:val="21"/>
          <w:highlight w:val="none"/>
        </w:rPr>
        <w:t>乙方：</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（以下简称“乙方”）</w:t>
      </w:r>
    </w:p>
    <w:p w14:paraId="6287CAA2">
      <w:pPr>
        <w:spacing w:before="93" w:beforeLines="30" w:line="360" w:lineRule="auto"/>
        <w:jc w:val="left"/>
        <w:rPr>
          <w:rFonts w:hint="eastAsia" w:ascii="宋体" w:hAnsi="宋体"/>
          <w:color w:val="auto"/>
          <w:szCs w:val="21"/>
          <w:highlight w:val="none"/>
        </w:rPr>
      </w:pPr>
    </w:p>
    <w:p w14:paraId="020D18AA">
      <w:pPr>
        <w:autoSpaceDE w:val="0"/>
        <w:autoSpaceDN w:val="0"/>
        <w:adjustRightInd w:val="0"/>
        <w:snapToGrid w:val="0"/>
        <w:spacing w:before="93" w:beforeLines="30"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lang w:val="en-US" w:eastAsia="zh-CN"/>
        </w:rPr>
        <w:t>根据《中华人民共和国民法典》及有关法律法规的规定，</w:t>
      </w:r>
      <w:r>
        <w:rPr>
          <w:rFonts w:hint="eastAsia" w:ascii="宋体" w:hAnsi="宋体" w:cs="宋体"/>
          <w:color w:val="auto"/>
          <w:kern w:val="0"/>
          <w:szCs w:val="21"/>
          <w:highlight w:val="none"/>
        </w:rPr>
        <w:t>甲乙双方本着互惠互利、真诚合作的原则，经友好协商，就甲方</w:t>
      </w:r>
      <w:r>
        <w:rPr>
          <w:rFonts w:hint="eastAsia" w:ascii="宋体" w:hAnsi="宋体" w:cs="宋体"/>
          <w:color w:val="auto"/>
          <w:kern w:val="0"/>
          <w:szCs w:val="21"/>
          <w:highlight w:val="none"/>
          <w:lang w:val="en-US" w:eastAsia="zh-CN"/>
        </w:rPr>
        <w:t>委托乙方为</w:t>
      </w:r>
      <w:r>
        <w:rPr>
          <w:rFonts w:hint="eastAsia" w:ascii="宋体" w:hAnsi="宋体" w:cs="宋体"/>
          <w:color w:val="auto"/>
          <w:kern w:val="0"/>
          <w:szCs w:val="21"/>
          <w:highlight w:val="none"/>
        </w:rPr>
        <w:t>“广州国际文化中心”项目</w:t>
      </w:r>
      <w:r>
        <w:rPr>
          <w:rFonts w:hint="eastAsia" w:ascii="宋体" w:hAnsi="宋体" w:cs="宋体"/>
          <w:color w:val="auto"/>
          <w:kern w:val="0"/>
          <w:szCs w:val="21"/>
          <w:highlight w:val="none"/>
          <w:lang w:val="en-US" w:eastAsia="zh-CN"/>
        </w:rPr>
        <w:t>提供营销策划顾问及首席租赁代理服务</w:t>
      </w:r>
      <w:r>
        <w:rPr>
          <w:rFonts w:hint="eastAsia" w:ascii="宋体" w:hAnsi="宋体" w:cs="宋体"/>
          <w:color w:val="auto"/>
          <w:kern w:val="0"/>
          <w:szCs w:val="21"/>
          <w:highlight w:val="none"/>
        </w:rPr>
        <w:t>事宜</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签订本合同</w:t>
      </w:r>
      <w:r>
        <w:rPr>
          <w:rFonts w:hint="eastAsia" w:ascii="宋体" w:hAnsi="宋体" w:cs="宋体"/>
          <w:color w:val="auto"/>
          <w:kern w:val="0"/>
          <w:szCs w:val="21"/>
          <w:highlight w:val="none"/>
        </w:rPr>
        <w:t>，</w:t>
      </w:r>
      <w:r>
        <w:rPr>
          <w:rFonts w:hint="eastAsia" w:ascii="宋体" w:hAnsi="宋体" w:cs="宋体"/>
          <w:color w:val="auto"/>
          <w:kern w:val="0"/>
          <w:szCs w:val="21"/>
          <w:highlight w:val="none"/>
          <w:lang w:val="en-US" w:eastAsia="zh-CN"/>
        </w:rPr>
        <w:t>以资</w:t>
      </w:r>
      <w:r>
        <w:rPr>
          <w:rFonts w:hint="eastAsia" w:ascii="宋体" w:hAnsi="宋体" w:cs="宋体"/>
          <w:color w:val="auto"/>
          <w:kern w:val="0"/>
          <w:szCs w:val="21"/>
          <w:highlight w:val="none"/>
        </w:rPr>
        <w:t>共同遵守</w:t>
      </w:r>
      <w:r>
        <w:rPr>
          <w:rFonts w:hint="eastAsia" w:ascii="宋体" w:hAnsi="宋体" w:cs="宋体"/>
          <w:color w:val="auto"/>
          <w:kern w:val="0"/>
          <w:szCs w:val="21"/>
          <w:highlight w:val="none"/>
          <w:lang w:eastAsia="zh-CN"/>
        </w:rPr>
        <w:t>。</w:t>
      </w:r>
      <w:bookmarkStart w:id="459" w:name="_Toc219170971"/>
    </w:p>
    <w:bookmarkEnd w:id="459"/>
    <w:p w14:paraId="2A7161F1">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60" w:name="_Toc459571384"/>
      <w:bookmarkStart w:id="461" w:name="_Toc7995"/>
      <w:r>
        <w:rPr>
          <w:rFonts w:hint="eastAsia" w:ascii="宋体" w:hAnsi="宋体" w:eastAsia="宋体"/>
          <w:color w:val="auto"/>
          <w:sz w:val="24"/>
          <w:szCs w:val="24"/>
          <w:highlight w:val="none"/>
        </w:rPr>
        <w:t>项目概况</w:t>
      </w:r>
      <w:bookmarkEnd w:id="460"/>
      <w:bookmarkEnd w:id="461"/>
    </w:p>
    <w:p w14:paraId="361AA0E9">
      <w:pPr>
        <w:numPr>
          <w:ilvl w:val="1"/>
          <w:numId w:val="2"/>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项目名称：广州国际文化中心（以下简称“本项目”）。</w:t>
      </w:r>
    </w:p>
    <w:p w14:paraId="24C43B1F">
      <w:pPr>
        <w:numPr>
          <w:ilvl w:val="1"/>
          <w:numId w:val="2"/>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项目位置：</w:t>
      </w:r>
      <w:r>
        <w:rPr>
          <w:rFonts w:hint="eastAsia" w:ascii="宋体" w:hAnsi="宋体"/>
          <w:color w:val="auto"/>
          <w:szCs w:val="21"/>
          <w:highlight w:val="none"/>
        </w:rPr>
        <w:t>广州市海珠区琶洲西区AH040245地块。</w:t>
      </w:r>
      <w:r>
        <w:rPr>
          <w:rFonts w:hint="eastAsia" w:ascii="宋体" w:hAnsi="宋体" w:cs="宋体"/>
          <w:color w:val="auto"/>
          <w:kern w:val="0"/>
          <w:szCs w:val="21"/>
          <w:highlight w:val="none"/>
        </w:rPr>
        <w:t xml:space="preserve"> </w:t>
      </w:r>
    </w:p>
    <w:p w14:paraId="21534F93">
      <w:pPr>
        <w:numPr>
          <w:ilvl w:val="1"/>
          <w:numId w:val="2"/>
        </w:numPr>
        <w:autoSpaceDE w:val="0"/>
        <w:autoSpaceDN w:val="0"/>
        <w:adjustRightInd w:val="0"/>
        <w:snapToGrid w:val="0"/>
        <w:spacing w:before="93" w:beforeLines="30" w:line="360" w:lineRule="auto"/>
        <w:ind w:hanging="496"/>
        <w:jc w:val="left"/>
        <w:rPr>
          <w:rFonts w:hint="eastAsia" w:ascii="宋体" w:hAnsi="宋体"/>
          <w:color w:val="auto"/>
          <w:szCs w:val="21"/>
          <w:highlight w:val="none"/>
        </w:rPr>
      </w:pPr>
      <w:r>
        <w:rPr>
          <w:rFonts w:hint="eastAsia" w:ascii="宋体" w:hAnsi="宋体" w:cs="宋体"/>
          <w:color w:val="auto"/>
          <w:kern w:val="0"/>
          <w:szCs w:val="21"/>
          <w:highlight w:val="none"/>
        </w:rPr>
        <w:t>项目面积及具体情况：</w:t>
      </w:r>
    </w:p>
    <w:p w14:paraId="085F46C6">
      <w:pPr>
        <w:numPr>
          <w:ilvl w:val="0"/>
          <w:numId w:val="0"/>
        </w:numPr>
        <w:autoSpaceDE w:val="0"/>
        <w:autoSpaceDN w:val="0"/>
        <w:adjustRightInd w:val="0"/>
        <w:snapToGrid w:val="0"/>
        <w:spacing w:before="93" w:beforeLines="30" w:line="360" w:lineRule="auto"/>
        <w:ind w:left="284" w:firstLine="420" w:firstLineChars="200"/>
        <w:jc w:val="left"/>
        <w:rPr>
          <w:rFonts w:hint="eastAsia" w:ascii="宋体" w:hAnsi="宋体"/>
          <w:color w:val="auto"/>
          <w:szCs w:val="21"/>
          <w:highlight w:val="none"/>
        </w:rPr>
      </w:pPr>
      <w:r>
        <w:rPr>
          <w:rFonts w:hint="eastAsia" w:ascii="宋体" w:hAnsi="宋体"/>
          <w:color w:val="auto"/>
          <w:szCs w:val="21"/>
          <w:highlight w:val="none"/>
        </w:rPr>
        <w:t>（一）项目情况：广州国际文化中心位于广州市海珠区琶洲全球智慧城市示范区核心区，项目占地面积7671平方米，总建筑面积约16.25万平方米，地上56层地下5层，主体建筑高度320 米。项目由南方出版传媒股份有限公司(股票代码:601900)投资开发，是目前</w:t>
      </w:r>
      <w:r>
        <w:rPr>
          <w:rFonts w:hint="eastAsia" w:ascii="宋体" w:hAnsi="宋体"/>
          <w:color w:val="auto"/>
          <w:szCs w:val="21"/>
          <w:highlight w:val="none"/>
          <w:lang w:val="en-US" w:eastAsia="zh-CN"/>
        </w:rPr>
        <w:t>广东</w:t>
      </w:r>
      <w:r>
        <w:rPr>
          <w:rFonts w:hint="eastAsia" w:ascii="宋体" w:hAnsi="宋体"/>
          <w:color w:val="auto"/>
          <w:szCs w:val="21"/>
          <w:highlight w:val="none"/>
        </w:rPr>
        <w:t>省属文化企业最大的文化物业投资项目，总投资约为45.6亿元。项目作为省出版集团和南方传媒文化强省建设的重要抓手，定位为广州城市文化新标杆、粤港澳大湾区文化创意新高地、国际文化企业总部新集群。项目落成后将服务于文化创意、媒体融合、金融、高科技与互联网、专业服务等国内外优秀企业的办公需求。</w:t>
      </w:r>
    </w:p>
    <w:p w14:paraId="139AC0B0">
      <w:pPr>
        <w:numPr>
          <w:ilvl w:val="0"/>
          <w:numId w:val="0"/>
        </w:numPr>
        <w:autoSpaceDE w:val="0"/>
        <w:autoSpaceDN w:val="0"/>
        <w:adjustRightInd w:val="0"/>
        <w:snapToGrid w:val="0"/>
        <w:spacing w:before="93" w:beforeLines="30" w:line="360" w:lineRule="auto"/>
        <w:ind w:left="284" w:firstLine="420" w:firstLineChars="200"/>
        <w:jc w:val="left"/>
        <w:rPr>
          <w:rFonts w:hint="eastAsia" w:ascii="宋体" w:hAnsi="宋体"/>
          <w:color w:val="auto"/>
          <w:szCs w:val="21"/>
          <w:highlight w:val="none"/>
        </w:rPr>
      </w:pPr>
      <w:r>
        <w:rPr>
          <w:rFonts w:hint="eastAsia" w:ascii="宋体" w:hAnsi="宋体"/>
          <w:color w:val="auto"/>
          <w:szCs w:val="21"/>
          <w:highlight w:val="none"/>
        </w:rPr>
        <w:t>（二）可出租面积及范围：本次出租代理为项目写字楼部分，建筑面积共104003.64㎡（</w:t>
      </w:r>
      <w:r>
        <w:rPr>
          <w:rFonts w:hint="eastAsia" w:ascii="宋体" w:hAnsi="宋体"/>
          <w:color w:val="auto"/>
          <w:szCs w:val="21"/>
          <w:highlight w:val="none"/>
          <w:lang w:eastAsia="zh-CN"/>
        </w:rPr>
        <w:t>范围为6-53层</w:t>
      </w:r>
      <w:r>
        <w:rPr>
          <w:rFonts w:hint="eastAsia" w:ascii="宋体" w:hAnsi="宋体"/>
          <w:color w:val="auto"/>
          <w:szCs w:val="21"/>
          <w:highlight w:val="none"/>
        </w:rPr>
        <w:t>，不含避难层及空中大堂），授权代理租赁面积</w:t>
      </w:r>
      <w:r>
        <w:rPr>
          <w:rFonts w:hint="eastAsia" w:ascii="宋体" w:hAnsi="宋体"/>
          <w:color w:val="auto"/>
          <w:szCs w:val="21"/>
          <w:highlight w:val="none"/>
          <w:lang w:eastAsia="zh-CN"/>
        </w:rPr>
        <w:t>8</w:t>
      </w:r>
      <w:r>
        <w:rPr>
          <w:rFonts w:hint="eastAsia" w:ascii="宋体" w:hAnsi="宋体"/>
          <w:color w:val="auto"/>
          <w:szCs w:val="21"/>
          <w:highlight w:val="none"/>
          <w:lang w:val="en-US" w:eastAsia="zh-CN"/>
        </w:rPr>
        <w:t>3202.91</w:t>
      </w:r>
      <w:r>
        <w:rPr>
          <w:rFonts w:hint="eastAsia" w:ascii="宋体" w:hAnsi="宋体"/>
          <w:color w:val="auto"/>
          <w:szCs w:val="21"/>
          <w:highlight w:val="none"/>
        </w:rPr>
        <w:t>㎡（</w:t>
      </w:r>
      <w:r>
        <w:rPr>
          <w:rFonts w:hint="eastAsia" w:ascii="宋体" w:hAnsi="宋体"/>
          <w:color w:val="auto"/>
          <w:szCs w:val="21"/>
          <w:highlight w:val="none"/>
          <w:lang w:val="en-US" w:eastAsia="zh-CN"/>
        </w:rPr>
        <w:t>占</w:t>
      </w:r>
      <w:r>
        <w:rPr>
          <w:rFonts w:hint="eastAsia" w:ascii="宋体" w:hAnsi="宋体"/>
          <w:color w:val="auto"/>
          <w:szCs w:val="21"/>
          <w:highlight w:val="none"/>
        </w:rPr>
        <w:t>写字楼总</w:t>
      </w:r>
      <w:r>
        <w:rPr>
          <w:rFonts w:hint="eastAsia" w:ascii="宋体" w:hAnsi="宋体"/>
          <w:color w:val="auto"/>
          <w:szCs w:val="21"/>
          <w:highlight w:val="none"/>
          <w:lang w:val="en-US" w:eastAsia="zh-CN"/>
        </w:rPr>
        <w:t>出租</w:t>
      </w:r>
      <w:r>
        <w:rPr>
          <w:rFonts w:hint="eastAsia" w:ascii="宋体" w:hAnsi="宋体"/>
          <w:color w:val="auto"/>
          <w:szCs w:val="21"/>
          <w:highlight w:val="none"/>
        </w:rPr>
        <w:t>面积的8</w:t>
      </w:r>
      <w:r>
        <w:rPr>
          <w:rFonts w:hint="eastAsia" w:ascii="宋体" w:hAnsi="宋体"/>
          <w:color w:val="auto"/>
          <w:szCs w:val="21"/>
          <w:highlight w:val="none"/>
          <w:lang w:val="en-US" w:eastAsia="zh-CN"/>
        </w:rPr>
        <w:t>0</w:t>
      </w:r>
      <w:r>
        <w:rPr>
          <w:rFonts w:hint="eastAsia" w:ascii="宋体" w:hAnsi="宋体"/>
          <w:color w:val="auto"/>
          <w:szCs w:val="21"/>
          <w:highlight w:val="none"/>
        </w:rPr>
        <w:t>%），具体代理范围及面积</w:t>
      </w:r>
      <w:r>
        <w:rPr>
          <w:rFonts w:hint="eastAsia" w:ascii="宋体" w:hAnsi="宋体"/>
          <w:color w:val="auto"/>
          <w:szCs w:val="21"/>
          <w:highlight w:val="none"/>
          <w:lang w:val="en-US" w:eastAsia="zh-CN"/>
        </w:rPr>
        <w:t>详见附件一</w:t>
      </w:r>
      <w:r>
        <w:rPr>
          <w:rFonts w:hint="eastAsia" w:ascii="宋体" w:hAnsi="宋体"/>
          <w:color w:val="auto"/>
          <w:szCs w:val="21"/>
          <w:highlight w:val="none"/>
        </w:rPr>
        <w:t>。</w:t>
      </w:r>
    </w:p>
    <w:p w14:paraId="75AD4879">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62" w:name="_Toc31024"/>
      <w:bookmarkStart w:id="463" w:name="_Toc219170972"/>
      <w:bookmarkStart w:id="464" w:name="_Toc459571385"/>
      <w:r>
        <w:rPr>
          <w:rFonts w:hint="eastAsia" w:ascii="宋体" w:hAnsi="宋体" w:eastAsia="宋体"/>
          <w:color w:val="auto"/>
          <w:sz w:val="24"/>
          <w:szCs w:val="24"/>
          <w:highlight w:val="none"/>
        </w:rPr>
        <w:t>委托期限</w:t>
      </w:r>
      <w:bookmarkEnd w:id="462"/>
      <w:bookmarkEnd w:id="463"/>
      <w:bookmarkEnd w:id="464"/>
    </w:p>
    <w:p w14:paraId="118865F7">
      <w:pPr>
        <w:pStyle w:val="113"/>
        <w:numPr>
          <w:ilvl w:val="1"/>
          <w:numId w:val="3"/>
        </w:numPr>
        <w:spacing w:after="0" w:line="360" w:lineRule="auto"/>
        <w:jc w:val="both"/>
        <w:rPr>
          <w:rFonts w:hint="eastAsia" w:ascii="宋体" w:hAnsi="宋体" w:eastAsia="宋体" w:cs="宋体"/>
          <w:color w:val="auto"/>
          <w:kern w:val="0"/>
          <w:szCs w:val="21"/>
          <w:highlight w:val="none"/>
        </w:rPr>
      </w:pPr>
      <w:r>
        <w:rPr>
          <w:rFonts w:hint="eastAsia" w:ascii="宋体" w:hAnsi="宋体" w:eastAsia="宋体"/>
          <w:bCs/>
          <w:color w:val="auto"/>
          <w:highlight w:val="none"/>
        </w:rPr>
        <w:t>营销策划顾问及</w:t>
      </w:r>
      <w:r>
        <w:rPr>
          <w:rFonts w:hint="eastAsia" w:ascii="宋体" w:hAnsi="宋体" w:eastAsia="宋体"/>
          <w:b w:val="0"/>
          <w:bCs/>
          <w:color w:val="auto"/>
          <w:highlight w:val="none"/>
        </w:rPr>
        <w:t>首席</w:t>
      </w:r>
      <w:r>
        <w:rPr>
          <w:rFonts w:hint="eastAsia" w:ascii="宋体" w:hAnsi="宋体" w:eastAsia="宋体"/>
          <w:b w:val="0"/>
          <w:bCs/>
          <w:color w:val="auto"/>
          <w:highlight w:val="none"/>
          <w:lang w:val="en-US" w:eastAsia="zh-CN"/>
        </w:rPr>
        <w:t>租赁</w:t>
      </w:r>
      <w:r>
        <w:rPr>
          <w:rFonts w:hint="eastAsia" w:ascii="宋体" w:hAnsi="宋体" w:eastAsia="宋体"/>
          <w:b w:val="0"/>
          <w:bCs/>
          <w:color w:val="auto"/>
          <w:highlight w:val="none"/>
        </w:rPr>
        <w:t>代理服务期限</w:t>
      </w:r>
      <w:r>
        <w:rPr>
          <w:rFonts w:hint="eastAsia" w:ascii="宋体" w:hAnsi="宋体" w:eastAsia="宋体"/>
          <w:b w:val="0"/>
          <w:bCs/>
          <w:color w:val="auto"/>
          <w:highlight w:val="none"/>
          <w:lang w:eastAsia="zh-CN"/>
        </w:rPr>
        <w:t>：</w:t>
      </w:r>
      <w:r>
        <w:rPr>
          <w:rFonts w:hint="eastAsia" w:ascii="宋体" w:hAnsi="宋体" w:cs="宋体"/>
          <w:color w:val="auto"/>
          <w:kern w:val="0"/>
          <w:szCs w:val="21"/>
          <w:highlight w:val="none"/>
        </w:rPr>
        <w:t>自</w:t>
      </w:r>
      <w:r>
        <w:rPr>
          <w:rFonts w:hint="eastAsia" w:ascii="宋体" w:hAnsi="宋体" w:cs="宋体"/>
          <w:color w:val="auto"/>
          <w:kern w:val="0"/>
          <w:szCs w:val="21"/>
          <w:highlight w:val="none"/>
          <w:lang w:val="en-US" w:eastAsia="zh-CN"/>
        </w:rPr>
        <w:t>双方</w:t>
      </w:r>
      <w:r>
        <w:rPr>
          <w:rFonts w:hint="eastAsia" w:ascii="宋体" w:hAnsi="宋体" w:cs="宋体"/>
          <w:color w:val="auto"/>
          <w:kern w:val="0"/>
          <w:szCs w:val="21"/>
          <w:highlight w:val="none"/>
        </w:rPr>
        <w:t>正式签署</w:t>
      </w:r>
      <w:r>
        <w:rPr>
          <w:rFonts w:hint="eastAsia" w:ascii="宋体" w:hAnsi="宋体" w:cs="宋体"/>
          <w:color w:val="auto"/>
          <w:kern w:val="0"/>
          <w:szCs w:val="21"/>
          <w:highlight w:val="none"/>
          <w:lang w:val="en-US" w:eastAsia="zh-CN"/>
        </w:rPr>
        <w:t>本合同之</w:t>
      </w:r>
      <w:r>
        <w:rPr>
          <w:rFonts w:hint="eastAsia" w:ascii="宋体" w:hAnsi="宋体" w:cs="宋体"/>
          <w:color w:val="auto"/>
          <w:kern w:val="0"/>
          <w:szCs w:val="21"/>
          <w:highlight w:val="none"/>
        </w:rPr>
        <w:t>日起计算</w:t>
      </w:r>
      <w:r>
        <w:rPr>
          <w:rFonts w:hint="eastAsia" w:ascii="宋体" w:hAnsi="宋体" w:cs="宋体"/>
          <w:color w:val="auto"/>
          <w:kern w:val="0"/>
          <w:szCs w:val="21"/>
          <w:highlight w:val="none"/>
          <w:lang w:val="en-US" w:eastAsia="zh-CN"/>
        </w:rPr>
        <w:t>至项目竣工交付后12个月</w:t>
      </w:r>
      <w:r>
        <w:rPr>
          <w:rFonts w:hint="eastAsia" w:ascii="宋体" w:hAnsi="宋体" w:cs="宋体"/>
          <w:color w:val="auto"/>
          <w:kern w:val="0"/>
          <w:szCs w:val="21"/>
          <w:highlight w:val="none"/>
        </w:rPr>
        <w:t>。</w:t>
      </w:r>
    </w:p>
    <w:p w14:paraId="5511CDDE">
      <w:pPr>
        <w:pStyle w:val="113"/>
        <w:numPr>
          <w:ilvl w:val="1"/>
          <w:numId w:val="3"/>
        </w:numPr>
        <w:spacing w:after="0" w:line="360" w:lineRule="auto"/>
        <w:jc w:val="both"/>
        <w:rPr>
          <w:rFonts w:hint="eastAsia" w:ascii="宋体" w:hAnsi="宋体" w:eastAsia="宋体" w:cs="宋体"/>
          <w:color w:val="auto"/>
          <w:kern w:val="0"/>
          <w:szCs w:val="21"/>
          <w:highlight w:val="none"/>
        </w:rPr>
      </w:pPr>
      <w:r>
        <w:rPr>
          <w:rFonts w:hint="eastAsia" w:ascii="宋体" w:hAnsi="宋体" w:eastAsia="宋体" w:cs="宋体"/>
          <w:color w:val="auto"/>
          <w:kern w:val="0"/>
          <w:szCs w:val="21"/>
          <w:highlight w:val="none"/>
        </w:rPr>
        <w:t>本合同期满时，任何一方如需要续约，应提前一（1）个月以书面的形式向另一方提出，双方进行友好协商，续约期限及条件按实际情况由双方商定并</w:t>
      </w:r>
      <w:r>
        <w:rPr>
          <w:rFonts w:hint="eastAsia" w:ascii="宋体" w:hAnsi="宋体" w:eastAsia="宋体" w:cs="宋体"/>
          <w:color w:val="auto"/>
          <w:kern w:val="0"/>
          <w:szCs w:val="21"/>
          <w:highlight w:val="none"/>
          <w:lang w:val="en-US" w:eastAsia="zh-CN"/>
        </w:rPr>
        <w:t>在履行各自相关程序后</w:t>
      </w:r>
      <w:r>
        <w:rPr>
          <w:rFonts w:hint="eastAsia" w:ascii="宋体" w:hAnsi="宋体" w:eastAsia="宋体" w:cs="宋体"/>
          <w:color w:val="auto"/>
          <w:kern w:val="0"/>
          <w:szCs w:val="21"/>
          <w:highlight w:val="none"/>
        </w:rPr>
        <w:t>另行签署书面续约协议。</w:t>
      </w:r>
    </w:p>
    <w:p w14:paraId="039F8956">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65" w:name="_Toc459571386"/>
      <w:bookmarkStart w:id="466" w:name="_Toc219170973"/>
      <w:bookmarkStart w:id="467" w:name="_Toc23310"/>
      <w:r>
        <w:rPr>
          <w:rFonts w:hint="eastAsia" w:ascii="宋体" w:hAnsi="宋体" w:eastAsia="宋体"/>
          <w:color w:val="auto"/>
          <w:sz w:val="24"/>
          <w:szCs w:val="24"/>
          <w:highlight w:val="none"/>
        </w:rPr>
        <w:t>委托形式</w:t>
      </w:r>
      <w:bookmarkEnd w:id="465"/>
      <w:bookmarkEnd w:id="466"/>
      <w:r>
        <w:rPr>
          <w:rFonts w:hint="eastAsia" w:ascii="宋体" w:hAnsi="宋体" w:eastAsia="宋体"/>
          <w:color w:val="auto"/>
          <w:sz w:val="24"/>
          <w:szCs w:val="24"/>
          <w:highlight w:val="none"/>
        </w:rPr>
        <w:t>和内容</w:t>
      </w:r>
      <w:bookmarkEnd w:id="467"/>
    </w:p>
    <w:p w14:paraId="6DD1DE90">
      <w:pPr>
        <w:autoSpaceDE w:val="0"/>
        <w:autoSpaceDN w:val="0"/>
        <w:adjustRightInd w:val="0"/>
        <w:snapToGrid w:val="0"/>
        <w:spacing w:before="93" w:beforeLines="30" w:line="360" w:lineRule="auto"/>
        <w:ind w:firstLine="420" w:firstLineChars="200"/>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本项目采用委托形式：乙方为本项目</w:t>
      </w:r>
      <w:r>
        <w:rPr>
          <w:rFonts w:hint="eastAsia" w:ascii="宋体" w:hAnsi="宋体" w:cs="宋体"/>
          <w:color w:val="auto"/>
          <w:kern w:val="0"/>
          <w:szCs w:val="21"/>
          <w:highlight w:val="none"/>
          <w:lang w:val="en-US" w:eastAsia="zh-CN"/>
        </w:rPr>
        <w:t>的</w:t>
      </w:r>
      <w:r>
        <w:rPr>
          <w:rFonts w:hint="eastAsia" w:ascii="宋体" w:hAnsi="宋体" w:cs="宋体"/>
          <w:color w:val="auto"/>
          <w:kern w:val="0"/>
          <w:szCs w:val="21"/>
          <w:highlight w:val="none"/>
        </w:rPr>
        <w:t>营销策划顾问及首席租赁代理服务</w:t>
      </w:r>
      <w:r>
        <w:rPr>
          <w:rFonts w:hint="eastAsia" w:ascii="宋体" w:hAnsi="宋体" w:cs="宋体"/>
          <w:color w:val="auto"/>
          <w:kern w:val="0"/>
          <w:szCs w:val="21"/>
          <w:highlight w:val="none"/>
          <w:lang w:val="en-US" w:eastAsia="zh-CN"/>
        </w:rPr>
        <w:t>的提供</w:t>
      </w:r>
      <w:r>
        <w:rPr>
          <w:rFonts w:hint="eastAsia" w:ascii="宋体" w:hAnsi="宋体" w:cs="宋体"/>
          <w:color w:val="auto"/>
          <w:kern w:val="0"/>
          <w:szCs w:val="21"/>
          <w:highlight w:val="none"/>
        </w:rPr>
        <w:t>方</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主要工作内容包括但不限于：</w:t>
      </w:r>
    </w:p>
    <w:p w14:paraId="365AECBF">
      <w:pPr>
        <w:pStyle w:val="16"/>
        <w:adjustRightInd w:val="0"/>
        <w:snapToGrid w:val="0"/>
        <w:spacing w:before="93" w:beforeLines="30" w:line="360" w:lineRule="auto"/>
        <w:ind w:right="-57" w:rightChars="-27" w:firstLine="424" w:firstLineChars="202"/>
        <w:jc w:val="left"/>
        <w:rPr>
          <w:rFonts w:hint="default" w:ascii="宋体" w:hAnsi="宋体" w:eastAsia="宋体" w:cs="Times New Roman"/>
          <w:color w:val="auto"/>
          <w:highlight w:val="none"/>
          <w:lang w:eastAsia="zh-CN"/>
        </w:rPr>
      </w:pPr>
      <w:r>
        <w:rPr>
          <w:rFonts w:hint="eastAsia" w:ascii="宋体" w:hAnsi="宋体" w:eastAsia="宋体" w:cs="Times New Roman"/>
          <w:color w:val="auto"/>
          <w:highlight w:val="none"/>
        </w:rPr>
        <w:t>（1）制定整体招商策划方案</w:t>
      </w:r>
      <w:r>
        <w:rPr>
          <w:rFonts w:hint="eastAsia" w:ascii="宋体" w:hAnsi="宋体" w:eastAsia="宋体" w:cs="Times New Roman"/>
          <w:color w:val="auto"/>
          <w:highlight w:val="none"/>
          <w:lang w:eastAsia="zh-CN"/>
        </w:rPr>
        <w:t>，</w:t>
      </w:r>
      <w:r>
        <w:rPr>
          <w:rFonts w:hint="eastAsia" w:ascii="宋体" w:hAnsi="宋体" w:eastAsia="宋体" w:cs="Times New Roman"/>
          <w:color w:val="auto"/>
          <w:highlight w:val="none"/>
          <w:lang w:val="en-US" w:eastAsia="zh-CN"/>
        </w:rPr>
        <w:t>负责</w:t>
      </w:r>
      <w:r>
        <w:rPr>
          <w:rFonts w:hint="eastAsia" w:ascii="宋体" w:hAnsi="宋体" w:eastAsia="宋体" w:cs="Times New Roman"/>
          <w:color w:val="auto"/>
          <w:highlight w:val="none"/>
        </w:rPr>
        <w:t>招商筹备阶段的策划</w:t>
      </w:r>
      <w:r>
        <w:rPr>
          <w:rFonts w:hint="eastAsia" w:ascii="宋体" w:hAnsi="宋体" w:eastAsia="宋体" w:cs="Times New Roman"/>
          <w:color w:val="auto"/>
          <w:highlight w:val="none"/>
          <w:lang w:eastAsia="zh-CN"/>
        </w:rPr>
        <w:t>，</w:t>
      </w:r>
      <w:r>
        <w:rPr>
          <w:rFonts w:hint="eastAsia" w:ascii="宋体" w:hAnsi="宋体" w:eastAsia="宋体" w:cs="Times New Roman"/>
          <w:color w:val="auto"/>
          <w:highlight w:val="none"/>
          <w:lang w:val="en-US" w:eastAsia="zh-CN"/>
        </w:rPr>
        <w:t>以及负责</w:t>
      </w:r>
      <w:r>
        <w:rPr>
          <w:rFonts w:hint="eastAsia" w:ascii="宋体" w:hAnsi="宋体" w:eastAsia="宋体" w:cs="Times New Roman"/>
          <w:color w:val="auto"/>
          <w:highlight w:val="none"/>
        </w:rPr>
        <w:t>正式招商阶段的</w:t>
      </w:r>
      <w:r>
        <w:rPr>
          <w:rFonts w:hint="eastAsia" w:ascii="宋体" w:hAnsi="宋体" w:eastAsia="宋体" w:cs="Times New Roman"/>
          <w:color w:val="auto"/>
          <w:highlight w:val="none"/>
          <w:lang w:val="en-US" w:eastAsia="zh-CN"/>
        </w:rPr>
        <w:t>招商工作；</w:t>
      </w:r>
    </w:p>
    <w:p w14:paraId="1632E1F4">
      <w:pPr>
        <w:pStyle w:val="16"/>
        <w:adjustRightInd w:val="0"/>
        <w:snapToGrid w:val="0"/>
        <w:spacing w:before="93" w:beforeLines="30" w:line="360" w:lineRule="auto"/>
        <w:ind w:right="-57" w:rightChars="-27" w:firstLine="424" w:firstLineChars="202"/>
        <w:jc w:val="left"/>
        <w:rPr>
          <w:rFonts w:hint="eastAsia" w:hAnsi="宋体"/>
          <w:color w:val="auto"/>
          <w:highlight w:val="none"/>
        </w:rPr>
      </w:pPr>
      <w:r>
        <w:rPr>
          <w:rFonts w:hAnsi="宋体"/>
          <w:color w:val="auto"/>
          <w:highlight w:val="none"/>
        </w:rPr>
        <w:t>（</w:t>
      </w:r>
      <w:r>
        <w:rPr>
          <w:rFonts w:hint="eastAsia" w:hAnsi="宋体"/>
          <w:color w:val="auto"/>
          <w:highlight w:val="none"/>
          <w:lang w:val="en-US" w:eastAsia="zh-CN"/>
        </w:rPr>
        <w:t>2</w:t>
      </w:r>
      <w:r>
        <w:rPr>
          <w:rFonts w:hAnsi="宋体"/>
          <w:color w:val="auto"/>
          <w:highlight w:val="none"/>
        </w:rPr>
        <w:t>）</w:t>
      </w:r>
      <w:r>
        <w:rPr>
          <w:rFonts w:hint="eastAsia" w:hAnsi="宋体"/>
          <w:color w:val="auto"/>
          <w:highlight w:val="none"/>
        </w:rPr>
        <w:t>配合甲方完成与</w:t>
      </w:r>
      <w:r>
        <w:rPr>
          <w:rFonts w:hint="eastAsia" w:hAnsi="宋体"/>
          <w:color w:val="auto"/>
          <w:highlight w:val="none"/>
          <w:lang w:val="en-US" w:eastAsia="zh-CN"/>
        </w:rPr>
        <w:t>甲方</w:t>
      </w:r>
      <w:r>
        <w:rPr>
          <w:rFonts w:hint="eastAsia" w:hAnsi="宋体"/>
          <w:color w:val="auto"/>
          <w:highlight w:val="none"/>
          <w:lang w:eastAsia="zh-CN"/>
        </w:rPr>
        <w:t>上级单位关于本项目经营性物业认定相关</w:t>
      </w:r>
      <w:r>
        <w:rPr>
          <w:rFonts w:hint="eastAsia" w:hAnsi="宋体"/>
          <w:color w:val="auto"/>
          <w:highlight w:val="none"/>
        </w:rPr>
        <w:t>的申请和汇报，并取得</w:t>
      </w:r>
      <w:r>
        <w:rPr>
          <w:rFonts w:hint="eastAsia" w:hAnsi="宋体"/>
          <w:color w:val="auto"/>
          <w:highlight w:val="none"/>
          <w:lang w:val="en-US" w:eastAsia="zh-CN"/>
        </w:rPr>
        <w:t>甲方上级单位批准</w:t>
      </w:r>
      <w:r>
        <w:rPr>
          <w:rFonts w:hint="eastAsia" w:hAnsi="宋体"/>
          <w:color w:val="auto"/>
          <w:highlight w:val="none"/>
        </w:rPr>
        <w:t>；</w:t>
      </w:r>
    </w:p>
    <w:p w14:paraId="654A6B50">
      <w:pPr>
        <w:pStyle w:val="16"/>
        <w:adjustRightInd w:val="0"/>
        <w:snapToGrid w:val="0"/>
        <w:spacing w:before="93" w:beforeLines="30" w:line="360" w:lineRule="auto"/>
        <w:ind w:right="-57" w:rightChars="-27" w:firstLine="424" w:firstLineChars="202"/>
        <w:jc w:val="left"/>
        <w:rPr>
          <w:rFonts w:hint="eastAsia" w:hAnsi="宋体"/>
          <w:color w:val="auto"/>
          <w:highlight w:val="none"/>
        </w:rPr>
      </w:pPr>
      <w:r>
        <w:rPr>
          <w:rFonts w:hint="eastAsia" w:hAnsi="宋体"/>
          <w:color w:val="auto"/>
          <w:highlight w:val="none"/>
        </w:rPr>
        <w:t>（</w:t>
      </w:r>
      <w:r>
        <w:rPr>
          <w:rFonts w:hint="eastAsia" w:hAnsi="宋体"/>
          <w:color w:val="auto"/>
          <w:highlight w:val="none"/>
          <w:lang w:val="en-US" w:eastAsia="zh-CN"/>
        </w:rPr>
        <w:t>3</w:t>
      </w:r>
      <w:r>
        <w:rPr>
          <w:rFonts w:hint="eastAsia" w:hAnsi="宋体"/>
          <w:color w:val="auto"/>
          <w:highlight w:val="none"/>
        </w:rPr>
        <w:t>）</w:t>
      </w:r>
      <w:r>
        <w:rPr>
          <w:rFonts w:hAnsi="宋体"/>
          <w:color w:val="auto"/>
          <w:highlight w:val="none"/>
        </w:rPr>
        <w:t>在</w:t>
      </w:r>
      <w:r>
        <w:rPr>
          <w:rFonts w:hint="eastAsia" w:hAnsi="宋体"/>
          <w:color w:val="auto"/>
          <w:highlight w:val="none"/>
        </w:rPr>
        <w:t>甲方</w:t>
      </w:r>
      <w:r>
        <w:rPr>
          <w:rFonts w:hAnsi="宋体"/>
          <w:color w:val="auto"/>
          <w:highlight w:val="none"/>
        </w:rPr>
        <w:t>授权范围内，以</w:t>
      </w:r>
      <w:r>
        <w:rPr>
          <w:rFonts w:hint="eastAsia" w:hAnsi="宋体"/>
          <w:color w:val="auto"/>
          <w:highlight w:val="none"/>
        </w:rPr>
        <w:t>甲方</w:t>
      </w:r>
      <w:r>
        <w:rPr>
          <w:rFonts w:hAnsi="宋体"/>
          <w:color w:val="auto"/>
          <w:highlight w:val="none"/>
        </w:rPr>
        <w:t>认可的租赁价格、租赁</w:t>
      </w:r>
      <w:r>
        <w:rPr>
          <w:rFonts w:hint="eastAsia" w:hAnsi="宋体"/>
          <w:color w:val="auto"/>
          <w:highlight w:val="none"/>
        </w:rPr>
        <w:t>考核任务指标（进度指标）等条件完成写字楼租赁相关工作。</w:t>
      </w:r>
    </w:p>
    <w:p w14:paraId="3DAFEC85">
      <w:pPr>
        <w:pStyle w:val="16"/>
        <w:adjustRightInd w:val="0"/>
        <w:snapToGrid w:val="0"/>
        <w:spacing w:before="93" w:beforeLines="30" w:line="360" w:lineRule="auto"/>
        <w:ind w:right="-57" w:rightChars="-27" w:firstLine="424" w:firstLineChars="202"/>
        <w:jc w:val="left"/>
        <w:rPr>
          <w:rFonts w:hint="eastAsia" w:hAnsi="宋体"/>
          <w:color w:val="auto"/>
          <w:highlight w:val="none"/>
        </w:rPr>
      </w:pPr>
      <w:r>
        <w:rPr>
          <w:rFonts w:hint="eastAsia" w:hAnsi="宋体"/>
          <w:color w:val="auto"/>
          <w:highlight w:val="none"/>
        </w:rPr>
        <w:t>（</w:t>
      </w:r>
      <w:r>
        <w:rPr>
          <w:rFonts w:hint="eastAsia" w:hAnsi="宋体"/>
          <w:color w:val="auto"/>
          <w:highlight w:val="none"/>
          <w:lang w:val="en-US" w:eastAsia="zh-CN"/>
        </w:rPr>
        <w:t>4</w:t>
      </w:r>
      <w:r>
        <w:rPr>
          <w:rFonts w:hint="eastAsia" w:hAnsi="宋体"/>
          <w:color w:val="auto"/>
          <w:highlight w:val="none"/>
        </w:rPr>
        <w:t>）根据甲方要求，完成除甲方自行统筹</w:t>
      </w:r>
      <w:r>
        <w:rPr>
          <w:rFonts w:hint="eastAsia" w:hAnsi="宋体"/>
          <w:color w:val="auto"/>
          <w:highlight w:val="none"/>
          <w:lang w:val="en-US" w:eastAsia="zh-CN"/>
        </w:rPr>
        <w:t>管理</w:t>
      </w:r>
      <w:r>
        <w:rPr>
          <w:rFonts w:hint="eastAsia" w:hAnsi="宋体"/>
          <w:color w:val="auto"/>
          <w:highlight w:val="none"/>
        </w:rPr>
        <w:t>的一般代理人</w:t>
      </w:r>
      <w:r>
        <w:rPr>
          <w:rFonts w:hint="eastAsia" w:hAnsi="宋体"/>
          <w:color w:val="auto"/>
          <w:highlight w:val="none"/>
          <w:lang w:eastAsia="zh-CN"/>
        </w:rPr>
        <w:t>（如有）</w:t>
      </w:r>
      <w:r>
        <w:rPr>
          <w:rFonts w:hint="eastAsia" w:hAnsi="宋体"/>
          <w:color w:val="auto"/>
          <w:highlight w:val="none"/>
        </w:rPr>
        <w:t>外的其他一般代理公司的统筹管理工作，制定并落实统筹管理方案。</w:t>
      </w:r>
    </w:p>
    <w:p w14:paraId="1BA83BB1">
      <w:pPr>
        <w:pStyle w:val="16"/>
        <w:adjustRightInd w:val="0"/>
        <w:snapToGrid w:val="0"/>
        <w:spacing w:before="93" w:beforeLines="30" w:line="360" w:lineRule="auto"/>
        <w:ind w:right="-57" w:rightChars="-27" w:firstLine="424" w:firstLineChars="202"/>
        <w:jc w:val="left"/>
        <w:rPr>
          <w:rFonts w:hint="eastAsia" w:hAnsi="宋体" w:eastAsia="宋体"/>
          <w:color w:val="auto"/>
          <w:highlight w:val="none"/>
          <w:lang w:val="en-US" w:eastAsia="zh-CN"/>
        </w:rPr>
      </w:pPr>
      <w:r>
        <w:rPr>
          <w:rFonts w:hint="eastAsia" w:hAnsi="宋体"/>
          <w:color w:val="auto"/>
          <w:highlight w:val="none"/>
        </w:rPr>
        <w:t>（</w:t>
      </w:r>
      <w:r>
        <w:rPr>
          <w:rFonts w:hint="eastAsia" w:hAnsi="宋体"/>
          <w:color w:val="auto"/>
          <w:highlight w:val="none"/>
          <w:lang w:val="en-US" w:eastAsia="zh-CN"/>
        </w:rPr>
        <w:t>5</w:t>
      </w:r>
      <w:r>
        <w:rPr>
          <w:rFonts w:hint="eastAsia" w:hAnsi="宋体"/>
          <w:color w:val="auto"/>
          <w:highlight w:val="none"/>
        </w:rPr>
        <w:t>）完成本项目租赁所涉及的项目与租赁客户定位分析、租赁计划的制定与落实、市场信息跟踪、宣传策划与推广、制度及流程建设、市场分析、客户合同制定及合同续约建议等工作</w:t>
      </w:r>
      <w:r>
        <w:rPr>
          <w:rFonts w:hint="eastAsia" w:hAnsi="宋体"/>
          <w:color w:val="auto"/>
          <w:highlight w:val="none"/>
          <w:lang w:eastAsia="zh-CN"/>
        </w:rPr>
        <w:t>（</w:t>
      </w:r>
      <w:r>
        <w:rPr>
          <w:rFonts w:hint="eastAsia" w:hAnsi="宋体"/>
          <w:color w:val="auto"/>
          <w:highlight w:val="none"/>
          <w:lang w:val="en-US" w:eastAsia="zh-CN"/>
        </w:rPr>
        <w:t>具体内容详</w:t>
      </w:r>
      <w:r>
        <w:rPr>
          <w:rFonts w:hint="eastAsia" w:hAnsi="宋体"/>
          <w:color w:val="auto"/>
          <w:highlight w:val="none"/>
          <w:lang w:eastAsia="zh-CN"/>
        </w:rPr>
        <w:t>见</w:t>
      </w:r>
      <w:r>
        <w:rPr>
          <w:rFonts w:hint="eastAsia" w:hAnsi="宋体"/>
          <w:color w:val="auto"/>
          <w:highlight w:val="none"/>
          <w:lang w:val="en-US" w:eastAsia="zh-CN"/>
        </w:rPr>
        <w:t>本</w:t>
      </w:r>
      <w:r>
        <w:rPr>
          <w:rFonts w:hint="eastAsia" w:hAnsi="宋体"/>
          <w:color w:val="auto"/>
          <w:highlight w:val="none"/>
          <w:lang w:eastAsia="zh-CN"/>
        </w:rPr>
        <w:t>合同附件二）</w:t>
      </w:r>
      <w:r>
        <w:rPr>
          <w:rFonts w:hint="eastAsia" w:hAnsi="宋体"/>
          <w:color w:val="auto"/>
          <w:highlight w:val="none"/>
        </w:rPr>
        <w:t>。</w:t>
      </w:r>
    </w:p>
    <w:p w14:paraId="0E4E03C2">
      <w:pPr>
        <w:autoSpaceDE w:val="0"/>
        <w:autoSpaceDN w:val="0"/>
        <w:adjustRightInd w:val="0"/>
        <w:snapToGrid w:val="0"/>
        <w:spacing w:before="93" w:beforeLines="30" w:line="360" w:lineRule="auto"/>
        <w:ind w:firstLine="420" w:firstLineChars="200"/>
        <w:jc w:val="left"/>
        <w:rPr>
          <w:rFonts w:hint="eastAsia" w:ascii="宋体" w:hAnsi="宋体"/>
          <w:color w:val="auto"/>
          <w:highlight w:val="none"/>
        </w:rPr>
      </w:pPr>
      <w:r>
        <w:rPr>
          <w:rFonts w:ascii="宋体" w:hAnsi="宋体" w:cs="宋体"/>
          <w:color w:val="auto"/>
          <w:kern w:val="0"/>
          <w:szCs w:val="21"/>
          <w:highlight w:val="none"/>
        </w:rPr>
        <w:t>具体租赁范围及建筑面积以甲方最终签章确认的租赁面积表</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本合同附件一</w:t>
      </w:r>
      <w:r>
        <w:rPr>
          <w:rFonts w:hint="eastAsia" w:ascii="宋体" w:hAnsi="宋体" w:cs="宋体"/>
          <w:color w:val="auto"/>
          <w:kern w:val="0"/>
          <w:szCs w:val="21"/>
          <w:highlight w:val="none"/>
          <w:lang w:eastAsia="zh-CN"/>
        </w:rPr>
        <w:t>）</w:t>
      </w:r>
      <w:r>
        <w:rPr>
          <w:rFonts w:ascii="宋体" w:hAnsi="宋体" w:cs="宋体"/>
          <w:color w:val="auto"/>
          <w:kern w:val="0"/>
          <w:szCs w:val="21"/>
          <w:highlight w:val="none"/>
        </w:rPr>
        <w:t>为准</w:t>
      </w:r>
      <w:r>
        <w:rPr>
          <w:rFonts w:hint="eastAsia" w:ascii="宋体" w:hAnsi="宋体" w:cs="宋体"/>
          <w:color w:val="auto"/>
          <w:kern w:val="0"/>
          <w:szCs w:val="21"/>
          <w:highlight w:val="none"/>
        </w:rPr>
        <w:t>，甲方不因</w:t>
      </w:r>
      <w:r>
        <w:rPr>
          <w:rFonts w:ascii="宋体" w:hAnsi="宋体" w:cs="宋体"/>
          <w:color w:val="auto"/>
          <w:kern w:val="0"/>
          <w:szCs w:val="21"/>
          <w:highlight w:val="none"/>
        </w:rPr>
        <w:t>租赁范围及面积调整承担违约责任。</w:t>
      </w:r>
    </w:p>
    <w:p w14:paraId="2B7824A4">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68" w:name="_Toc8046"/>
      <w:r>
        <w:rPr>
          <w:rFonts w:hint="eastAsia" w:ascii="宋体" w:hAnsi="宋体" w:eastAsia="宋体"/>
          <w:color w:val="auto"/>
          <w:sz w:val="24"/>
          <w:szCs w:val="24"/>
          <w:highlight w:val="none"/>
        </w:rPr>
        <w:t>甲方</w:t>
      </w:r>
      <w:r>
        <w:rPr>
          <w:rFonts w:hint="eastAsia" w:ascii="宋体" w:hAnsi="宋体" w:eastAsia="宋体"/>
          <w:color w:val="auto"/>
          <w:sz w:val="24"/>
          <w:szCs w:val="24"/>
          <w:highlight w:val="none"/>
          <w:lang w:val="en-US" w:eastAsia="zh-CN"/>
        </w:rPr>
        <w:t>的</w:t>
      </w:r>
      <w:r>
        <w:rPr>
          <w:rFonts w:hint="eastAsia" w:ascii="宋体" w:hAnsi="宋体" w:eastAsia="宋体"/>
          <w:color w:val="auto"/>
          <w:sz w:val="24"/>
          <w:szCs w:val="24"/>
          <w:highlight w:val="none"/>
        </w:rPr>
        <w:t>权</w:t>
      </w:r>
      <w:r>
        <w:rPr>
          <w:rFonts w:hint="eastAsia" w:ascii="宋体" w:hAnsi="宋体" w:eastAsia="宋体"/>
          <w:color w:val="auto"/>
          <w:sz w:val="24"/>
          <w:szCs w:val="24"/>
          <w:highlight w:val="none"/>
          <w:lang w:val="en-US" w:eastAsia="zh-CN"/>
        </w:rPr>
        <w:t>利与义务</w:t>
      </w:r>
      <w:bookmarkEnd w:id="468"/>
    </w:p>
    <w:p w14:paraId="507AF224">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甲方项目负责人/对接人：</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，联系方式：</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w:t>
      </w:r>
    </w:p>
    <w:p w14:paraId="0C396D1A">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甲方对本合约项下之物业可租部分拥有完全的所有权或者运营管理权，甲方对因该物业本身之权属或资格、质量之瑕疵而引</w:t>
      </w:r>
      <w:r>
        <w:rPr>
          <w:rFonts w:hint="eastAsia" w:ascii="宋体" w:hAnsi="宋体" w:cs="宋体"/>
          <w:color w:val="auto"/>
          <w:kern w:val="0"/>
          <w:szCs w:val="21"/>
          <w:highlight w:val="none"/>
          <w:lang w:val="en-US" w:eastAsia="zh-CN"/>
        </w:rPr>
        <w:t>起</w:t>
      </w:r>
      <w:r>
        <w:rPr>
          <w:rFonts w:hint="eastAsia" w:ascii="宋体" w:hAnsi="宋体" w:cs="宋体"/>
          <w:color w:val="auto"/>
          <w:kern w:val="0"/>
          <w:szCs w:val="21"/>
          <w:highlight w:val="none"/>
        </w:rPr>
        <w:t>的纠纷承担</w:t>
      </w:r>
      <w:r>
        <w:rPr>
          <w:rFonts w:hint="eastAsia" w:ascii="宋体" w:hAnsi="宋体" w:cs="宋体"/>
          <w:color w:val="auto"/>
          <w:kern w:val="0"/>
          <w:szCs w:val="21"/>
          <w:highlight w:val="none"/>
          <w:lang w:val="en-US" w:eastAsia="zh-CN"/>
        </w:rPr>
        <w:t>相应</w:t>
      </w:r>
      <w:r>
        <w:rPr>
          <w:rFonts w:hint="eastAsia" w:ascii="宋体" w:hAnsi="宋体" w:cs="宋体"/>
          <w:color w:val="auto"/>
          <w:kern w:val="0"/>
          <w:szCs w:val="21"/>
          <w:highlight w:val="none"/>
        </w:rPr>
        <w:t>责任。</w:t>
      </w:r>
    </w:p>
    <w:p w14:paraId="6BA2234F">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甲方提供政府有关部门的批准、证明和执照，以及项目租赁所需的有关资料，并承诺资料完全真实有效。甲方确保物业于交付使用时具有完备的出租资格及相关文件。</w:t>
      </w:r>
    </w:p>
    <w:p w14:paraId="55EB92BC">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甲方负责</w:t>
      </w:r>
      <w:r>
        <w:rPr>
          <w:rFonts w:hint="eastAsia" w:ascii="宋体" w:hAnsi="宋体" w:cs="宋体"/>
          <w:color w:val="auto"/>
          <w:kern w:val="0"/>
          <w:szCs w:val="21"/>
          <w:highlight w:val="none"/>
          <w:lang w:val="en-US" w:eastAsia="zh-CN"/>
        </w:rPr>
        <w:t>为</w:t>
      </w:r>
      <w:r>
        <w:rPr>
          <w:rFonts w:hint="eastAsia" w:ascii="宋体" w:hAnsi="宋体" w:cs="宋体"/>
          <w:color w:val="auto"/>
          <w:kern w:val="0"/>
          <w:szCs w:val="21"/>
          <w:highlight w:val="none"/>
        </w:rPr>
        <w:t>本项目</w:t>
      </w:r>
      <w:r>
        <w:rPr>
          <w:rFonts w:hint="eastAsia" w:ascii="宋体" w:hAnsi="宋体" w:cs="宋体"/>
          <w:color w:val="auto"/>
          <w:kern w:val="0"/>
          <w:szCs w:val="21"/>
          <w:highlight w:val="none"/>
          <w:lang w:val="en-US" w:eastAsia="zh-CN"/>
        </w:rPr>
        <w:t>营销策划顾问及首席租赁代理服务提供必要的</w:t>
      </w:r>
      <w:r>
        <w:rPr>
          <w:rFonts w:hint="eastAsia" w:ascii="宋体" w:hAnsi="宋体" w:cs="宋体"/>
          <w:color w:val="auto"/>
          <w:kern w:val="0"/>
          <w:szCs w:val="21"/>
          <w:highlight w:val="none"/>
        </w:rPr>
        <w:t>办公场所。</w:t>
      </w:r>
    </w:p>
    <w:p w14:paraId="6939C707">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甲方承担本项目租赁中心</w:t>
      </w:r>
      <w:r>
        <w:rPr>
          <w:rFonts w:hint="eastAsia" w:ascii="宋体" w:hAnsi="宋体" w:cs="宋体"/>
          <w:color w:val="auto"/>
          <w:kern w:val="0"/>
          <w:szCs w:val="21"/>
          <w:highlight w:val="none"/>
          <w:lang w:val="en-US" w:eastAsia="zh-CN"/>
        </w:rPr>
        <w:t>和</w:t>
      </w:r>
      <w:r>
        <w:rPr>
          <w:rFonts w:hint="eastAsia" w:ascii="宋体" w:hAnsi="宋体" w:cs="宋体"/>
          <w:color w:val="auto"/>
          <w:kern w:val="0"/>
          <w:szCs w:val="21"/>
          <w:highlight w:val="none"/>
        </w:rPr>
        <w:t>办公</w:t>
      </w:r>
      <w:r>
        <w:rPr>
          <w:rFonts w:hint="eastAsia" w:ascii="宋体" w:hAnsi="宋体" w:cs="宋体"/>
          <w:color w:val="auto"/>
          <w:kern w:val="0"/>
          <w:szCs w:val="21"/>
          <w:highlight w:val="none"/>
          <w:lang w:val="en-US" w:eastAsia="zh-CN"/>
        </w:rPr>
        <w:t>场所</w:t>
      </w:r>
      <w:r>
        <w:rPr>
          <w:rFonts w:hint="eastAsia" w:ascii="宋体" w:hAnsi="宋体" w:cs="宋体"/>
          <w:color w:val="auto"/>
          <w:kern w:val="0"/>
          <w:szCs w:val="21"/>
          <w:highlight w:val="none"/>
        </w:rPr>
        <w:t>日常办公费用、所有水电费以及为推进本项目租赁推广工作所必要的营销推广费用，营销推广费用的支出由甲乙双方共同制订具体方案并经甲方批准后实施。</w:t>
      </w:r>
    </w:p>
    <w:p w14:paraId="54B56E87">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甲方负责与客户签订租赁合同及相关文件</w:t>
      </w:r>
      <w:r>
        <w:rPr>
          <w:rFonts w:hint="eastAsia" w:ascii="宋体" w:hAnsi="宋体" w:cs="宋体"/>
          <w:color w:val="auto"/>
          <w:kern w:val="0"/>
          <w:szCs w:val="21"/>
          <w:highlight w:val="none"/>
          <w:lang w:eastAsia="zh-CN"/>
        </w:rPr>
        <w:t>，</w:t>
      </w:r>
      <w:r>
        <w:rPr>
          <w:rFonts w:hint="eastAsia" w:ascii="宋体" w:hAnsi="宋体" w:cs="宋体"/>
          <w:color w:val="auto"/>
          <w:kern w:val="0"/>
          <w:sz w:val="21"/>
          <w:szCs w:val="21"/>
          <w:highlight w:val="none"/>
        </w:rPr>
        <w:t>客户定金、租赁保证金、租金均存入甲方指定银行账户</w:t>
      </w:r>
      <w:r>
        <w:rPr>
          <w:rFonts w:hint="eastAsia" w:ascii="宋体" w:hAnsi="宋体" w:cs="宋体"/>
          <w:color w:val="auto"/>
          <w:kern w:val="0"/>
          <w:szCs w:val="21"/>
          <w:highlight w:val="none"/>
        </w:rPr>
        <w:t>。</w:t>
      </w:r>
    </w:p>
    <w:p w14:paraId="7E070098">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甲方负责审核乙方提交之所有项目策划及租赁执行方案，并有权要求乙方调整。未经甲方书面认可的项目策划和租赁执行方案，乙方擅自实施产生的</w:t>
      </w:r>
      <w:r>
        <w:rPr>
          <w:rFonts w:hint="eastAsia" w:ascii="宋体" w:hAnsi="宋体" w:cs="宋体"/>
          <w:color w:val="auto"/>
          <w:kern w:val="0"/>
          <w:szCs w:val="21"/>
          <w:highlight w:val="none"/>
          <w:lang w:val="en-US" w:eastAsia="zh-CN"/>
        </w:rPr>
        <w:t>一切</w:t>
      </w:r>
      <w:r>
        <w:rPr>
          <w:rFonts w:hint="eastAsia" w:ascii="宋体" w:hAnsi="宋体" w:cs="宋体"/>
          <w:color w:val="auto"/>
          <w:kern w:val="0"/>
          <w:szCs w:val="21"/>
          <w:highlight w:val="none"/>
        </w:rPr>
        <w:t>费用，由乙方自行承担。甲方应及时审批确认乙方提交的相关方案与文件。</w:t>
      </w:r>
    </w:p>
    <w:p w14:paraId="62BDE3CF">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w:t>
      </w:r>
      <w:r>
        <w:rPr>
          <w:rFonts w:hint="eastAsia" w:ascii="宋体" w:hAnsi="宋体" w:cs="宋体"/>
          <w:color w:val="auto"/>
          <w:kern w:val="0"/>
          <w:szCs w:val="21"/>
          <w:highlight w:val="none"/>
          <w:lang w:val="en-US" w:eastAsia="zh-CN"/>
        </w:rPr>
        <w:t>可</w:t>
      </w:r>
      <w:r>
        <w:rPr>
          <w:rFonts w:hint="eastAsia" w:ascii="宋体" w:hAnsi="宋体" w:cs="宋体"/>
          <w:color w:val="auto"/>
          <w:kern w:val="0"/>
          <w:szCs w:val="21"/>
          <w:highlight w:val="none"/>
        </w:rPr>
        <w:t>在本项目的宣传资料、广告上注明乙方为本项目的首席租赁代理。</w:t>
      </w:r>
    </w:p>
    <w:p w14:paraId="4B491AB8">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w:t>
      </w:r>
      <w:r>
        <w:rPr>
          <w:rFonts w:hint="eastAsia" w:ascii="宋体" w:hAnsi="宋体" w:cs="宋体"/>
          <w:color w:val="auto"/>
          <w:kern w:val="0"/>
          <w:szCs w:val="21"/>
          <w:highlight w:val="none"/>
          <w:lang w:val="en-US" w:eastAsia="zh-CN"/>
        </w:rPr>
        <w:t>应</w:t>
      </w:r>
      <w:r>
        <w:rPr>
          <w:rFonts w:hint="eastAsia" w:ascii="宋体" w:hAnsi="宋体" w:cs="宋体"/>
          <w:color w:val="auto"/>
          <w:kern w:val="0"/>
          <w:szCs w:val="21"/>
          <w:highlight w:val="none"/>
        </w:rPr>
        <w:t>向本项目现场</w:t>
      </w:r>
      <w:r>
        <w:rPr>
          <w:rFonts w:hint="eastAsia" w:ascii="宋体" w:hAnsi="宋体" w:cs="宋体"/>
          <w:color w:val="auto"/>
          <w:kern w:val="0"/>
          <w:szCs w:val="21"/>
          <w:highlight w:val="none"/>
          <w:lang w:val="en-US" w:eastAsia="zh-CN"/>
        </w:rPr>
        <w:t>指</w:t>
      </w:r>
      <w:r>
        <w:rPr>
          <w:rFonts w:hint="eastAsia" w:ascii="宋体" w:hAnsi="宋体" w:cs="宋体"/>
          <w:color w:val="auto"/>
          <w:kern w:val="0"/>
          <w:szCs w:val="21"/>
          <w:highlight w:val="none"/>
        </w:rPr>
        <w:t>派驻场项目经理及招商人员</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甲方有权监督乙方项目小组及驻场人员工作。甲方认为乙方项目小组及驻场人员资格、工作表现不适宜的，有权要求乙方纠正或更替，乙方需在七日内替换合适人员。</w:t>
      </w:r>
    </w:p>
    <w:p w14:paraId="17A03B8B">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甲方按合同约定时间和款额支付相关费用。</w:t>
      </w:r>
    </w:p>
    <w:p w14:paraId="01CA3B19">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乙方与其它一般代理公司建立合作关系前，应及时向甲方报备拟签约的一般代理公司名单，代理合同报甲方备案</w:t>
      </w:r>
      <w:r>
        <w:rPr>
          <w:rFonts w:hint="eastAsia" w:ascii="宋体" w:hAnsi="宋体" w:cs="宋体"/>
          <w:color w:val="auto"/>
          <w:kern w:val="0"/>
          <w:szCs w:val="21"/>
          <w:highlight w:val="none"/>
          <w:lang w:val="en-US" w:eastAsia="zh-CN"/>
        </w:rPr>
        <w:t>后方可开展相关</w:t>
      </w:r>
      <w:r>
        <w:rPr>
          <w:rFonts w:hint="eastAsia" w:ascii="宋体" w:hAnsi="宋体" w:cs="宋体"/>
          <w:color w:val="auto"/>
          <w:kern w:val="0"/>
          <w:sz w:val="21"/>
          <w:szCs w:val="21"/>
          <w:highlight w:val="none"/>
        </w:rPr>
        <w:t>租赁</w:t>
      </w:r>
      <w:r>
        <w:rPr>
          <w:rFonts w:hint="eastAsia" w:ascii="宋体" w:hAnsi="宋体" w:cs="宋体"/>
          <w:color w:val="auto"/>
          <w:kern w:val="0"/>
          <w:sz w:val="21"/>
          <w:szCs w:val="21"/>
          <w:highlight w:val="none"/>
          <w:lang w:val="en-US" w:eastAsia="zh-CN"/>
        </w:rPr>
        <w:t>工作</w:t>
      </w:r>
      <w:r>
        <w:rPr>
          <w:rFonts w:hint="eastAsia" w:ascii="宋体" w:hAnsi="宋体" w:cs="宋体"/>
          <w:color w:val="auto"/>
          <w:kern w:val="0"/>
          <w:szCs w:val="21"/>
          <w:highlight w:val="none"/>
        </w:rPr>
        <w:t>。</w:t>
      </w:r>
    </w:p>
    <w:p w14:paraId="09036C8D">
      <w:pPr>
        <w:numPr>
          <w:ilvl w:val="1"/>
          <w:numId w:val="4"/>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对于乙方在履行本合同过程中发生损害甲方合法利益</w:t>
      </w:r>
      <w:r>
        <w:rPr>
          <w:rFonts w:hint="eastAsia" w:ascii="宋体" w:hAnsi="宋体" w:cs="宋体"/>
          <w:color w:val="auto"/>
          <w:kern w:val="0"/>
          <w:szCs w:val="21"/>
          <w:highlight w:val="none"/>
          <w:lang w:val="en-US" w:eastAsia="zh-CN"/>
        </w:rPr>
        <w:t>的</w:t>
      </w:r>
      <w:r>
        <w:rPr>
          <w:rFonts w:hint="eastAsia" w:ascii="宋体" w:hAnsi="宋体" w:cs="宋体"/>
          <w:color w:val="auto"/>
          <w:kern w:val="0"/>
          <w:szCs w:val="21"/>
          <w:highlight w:val="none"/>
        </w:rPr>
        <w:t>行为或其他违法违规行为的情形时，</w:t>
      </w:r>
      <w:r>
        <w:rPr>
          <w:rFonts w:hint="eastAsia" w:ascii="宋体" w:hAnsi="宋体" w:cs="宋体"/>
          <w:color w:val="auto"/>
          <w:kern w:val="0"/>
          <w:szCs w:val="21"/>
          <w:highlight w:val="none"/>
          <w:lang w:val="en-US" w:eastAsia="zh-CN"/>
        </w:rPr>
        <w:t>甲方</w:t>
      </w:r>
      <w:r>
        <w:rPr>
          <w:rFonts w:hint="eastAsia" w:ascii="宋体" w:hAnsi="宋体" w:cs="宋体"/>
          <w:color w:val="auto"/>
          <w:kern w:val="0"/>
          <w:szCs w:val="21"/>
          <w:highlight w:val="none"/>
        </w:rPr>
        <w:t>有权单方解除本合同且不承担任何违约责任</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并有权要求乙方赔偿损失（</w:t>
      </w:r>
      <w:r>
        <w:rPr>
          <w:rFonts w:hint="eastAsia" w:ascii="宋体" w:hAnsi="宋体" w:cs="宋体"/>
          <w:color w:val="auto"/>
          <w:kern w:val="0"/>
          <w:szCs w:val="21"/>
          <w:highlight w:val="none"/>
        </w:rPr>
        <w:t>包括但不限于给甲方造成的直接经济损失、预期可得利益损失以及甲方为实现债权而支出的律师费、保全费、诉讼费、公证费、鉴定费、调查费和差旅费等一切费用</w:t>
      </w:r>
      <w:r>
        <w:rPr>
          <w:rFonts w:hint="eastAsia" w:ascii="宋体" w:hAnsi="宋体" w:cs="宋体"/>
          <w:color w:val="auto"/>
          <w:kern w:val="0"/>
          <w:szCs w:val="21"/>
          <w:highlight w:val="none"/>
          <w:lang w:val="en-US" w:eastAsia="zh-CN"/>
        </w:rPr>
        <w:t>）</w:t>
      </w:r>
      <w:r>
        <w:rPr>
          <w:rFonts w:hint="eastAsia" w:ascii="宋体" w:hAnsi="宋体" w:cs="宋体"/>
          <w:color w:val="auto"/>
          <w:kern w:val="0"/>
          <w:szCs w:val="21"/>
          <w:highlight w:val="none"/>
        </w:rPr>
        <w:t>。</w:t>
      </w:r>
    </w:p>
    <w:p w14:paraId="16484CCB">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69" w:name="_Toc10447"/>
      <w:r>
        <w:rPr>
          <w:rFonts w:hint="eastAsia" w:ascii="宋体" w:hAnsi="宋体" w:eastAsia="宋体"/>
          <w:color w:val="auto"/>
          <w:sz w:val="24"/>
          <w:szCs w:val="24"/>
          <w:highlight w:val="none"/>
        </w:rPr>
        <w:t>乙方</w:t>
      </w:r>
      <w:r>
        <w:rPr>
          <w:rFonts w:hint="eastAsia" w:ascii="宋体" w:hAnsi="宋体" w:eastAsia="宋体"/>
          <w:color w:val="auto"/>
          <w:sz w:val="24"/>
          <w:szCs w:val="24"/>
          <w:highlight w:val="none"/>
          <w:lang w:val="en-US" w:eastAsia="zh-CN"/>
        </w:rPr>
        <w:t>的</w:t>
      </w:r>
      <w:r>
        <w:rPr>
          <w:rFonts w:hint="eastAsia" w:ascii="宋体" w:hAnsi="宋体" w:eastAsia="宋体"/>
          <w:color w:val="auto"/>
          <w:sz w:val="24"/>
          <w:szCs w:val="24"/>
          <w:highlight w:val="none"/>
        </w:rPr>
        <w:t>权</w:t>
      </w:r>
      <w:r>
        <w:rPr>
          <w:rFonts w:hint="eastAsia" w:ascii="宋体" w:hAnsi="宋体" w:eastAsia="宋体"/>
          <w:color w:val="auto"/>
          <w:sz w:val="24"/>
          <w:szCs w:val="24"/>
          <w:highlight w:val="none"/>
          <w:lang w:val="en-US" w:eastAsia="zh-CN"/>
        </w:rPr>
        <w:t>利与义务</w:t>
      </w:r>
      <w:bookmarkEnd w:id="469"/>
    </w:p>
    <w:p w14:paraId="705C86E3">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乙方项目负责人：</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，联系方式：</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w:t>
      </w:r>
    </w:p>
    <w:p w14:paraId="0031487D">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在甲方监督下，乙方</w:t>
      </w:r>
      <w:r>
        <w:rPr>
          <w:rFonts w:hint="eastAsia" w:ascii="宋体" w:hAnsi="宋体" w:cs="宋体"/>
          <w:color w:val="auto"/>
          <w:kern w:val="0"/>
          <w:szCs w:val="21"/>
          <w:highlight w:val="none"/>
          <w:lang w:val="en-US" w:eastAsia="zh-CN"/>
        </w:rPr>
        <w:t>应负责</w:t>
      </w:r>
      <w:r>
        <w:rPr>
          <w:rFonts w:hint="eastAsia" w:ascii="宋体" w:hAnsi="宋体" w:cs="宋体"/>
          <w:color w:val="auto"/>
          <w:kern w:val="0"/>
          <w:szCs w:val="21"/>
          <w:highlight w:val="none"/>
        </w:rPr>
        <w:t>具体落实租赁策划准备、</w:t>
      </w:r>
      <w:r>
        <w:rPr>
          <w:rFonts w:hint="eastAsia" w:ascii="宋体" w:hAnsi="宋体" w:cs="宋体"/>
          <w:color w:val="auto"/>
          <w:kern w:val="0"/>
          <w:szCs w:val="21"/>
          <w:highlight w:val="none"/>
          <w:lang w:val="en-US" w:eastAsia="zh-CN"/>
        </w:rPr>
        <w:t>营销策划方案制定、</w:t>
      </w:r>
      <w:r>
        <w:rPr>
          <w:rFonts w:hint="eastAsia" w:ascii="宋体" w:hAnsi="宋体" w:cs="宋体"/>
          <w:color w:val="auto"/>
          <w:kern w:val="0"/>
          <w:szCs w:val="21"/>
          <w:highlight w:val="none"/>
        </w:rPr>
        <w:t>各租赁阶段工作安排、管理及执行工作。乙方策划、租赁代理活动应符合国家法律法规和</w:t>
      </w:r>
      <w:r>
        <w:rPr>
          <w:rFonts w:hint="eastAsia" w:ascii="宋体" w:hAnsi="宋体" w:cs="宋体"/>
          <w:color w:val="auto"/>
          <w:kern w:val="0"/>
          <w:szCs w:val="21"/>
          <w:highlight w:val="none"/>
          <w:lang w:val="en-US" w:eastAsia="zh-CN"/>
        </w:rPr>
        <w:t>项目所在地省</w:t>
      </w:r>
      <w:r>
        <w:rPr>
          <w:rFonts w:hint="eastAsia" w:ascii="宋体" w:hAnsi="宋体" w:cs="宋体"/>
          <w:color w:val="auto"/>
          <w:kern w:val="0"/>
          <w:szCs w:val="21"/>
          <w:highlight w:val="none"/>
        </w:rPr>
        <w:t>市有关租赁管理规定。</w:t>
      </w:r>
    </w:p>
    <w:p w14:paraId="16B69EBC">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乙方可以与其它一般代理公司建立合作关系，向甲方报备后开展租赁工作，统筹管理除甲方自主统筹</w:t>
      </w:r>
      <w:r>
        <w:rPr>
          <w:rFonts w:hint="eastAsia" w:ascii="宋体" w:hAnsi="宋体" w:cs="宋体"/>
          <w:color w:val="auto"/>
          <w:kern w:val="0"/>
          <w:szCs w:val="21"/>
          <w:highlight w:val="none"/>
          <w:lang w:val="en-US" w:eastAsia="zh-CN"/>
        </w:rPr>
        <w:t>管理</w:t>
      </w:r>
      <w:r>
        <w:rPr>
          <w:rFonts w:hint="eastAsia" w:ascii="宋体" w:hAnsi="宋体" w:cs="宋体"/>
          <w:color w:val="auto"/>
          <w:kern w:val="0"/>
          <w:szCs w:val="21"/>
          <w:highlight w:val="none"/>
        </w:rPr>
        <w:t>外的其他一般代理公司</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并在管理职责范围内对统筹管理的一般代理公司的行为承担连带责任</w:t>
      </w:r>
      <w:r>
        <w:rPr>
          <w:rFonts w:hint="eastAsia" w:ascii="宋体" w:hAnsi="宋体" w:cs="宋体"/>
          <w:color w:val="auto"/>
          <w:kern w:val="0"/>
          <w:szCs w:val="21"/>
          <w:highlight w:val="none"/>
        </w:rPr>
        <w:t>。</w:t>
      </w:r>
    </w:p>
    <w:p w14:paraId="1761C382">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乙方应运用自身的国际及国内客户网络资源，主动寻找客户并</w:t>
      </w:r>
      <w:r>
        <w:rPr>
          <w:rFonts w:hint="eastAsia" w:ascii="宋体" w:hAnsi="宋体" w:cs="宋体"/>
          <w:color w:val="auto"/>
          <w:kern w:val="0"/>
          <w:szCs w:val="21"/>
          <w:highlight w:val="none"/>
          <w:lang w:val="en-US" w:eastAsia="zh-CN"/>
        </w:rPr>
        <w:t>进行宣传推介、</w:t>
      </w:r>
      <w:r>
        <w:rPr>
          <w:rFonts w:hint="eastAsia" w:ascii="宋体" w:hAnsi="宋体" w:cs="宋体"/>
          <w:color w:val="auto"/>
          <w:kern w:val="0"/>
          <w:szCs w:val="21"/>
          <w:highlight w:val="none"/>
        </w:rPr>
        <w:t>派送宣传资料（如折页）、积极洽谈、跟踪服务、努力促成交易</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负责与目标客户联络、推介、洽谈租赁条件，安排目标客户现场实地考察，并协助目标客户与甲方达成租赁协议，签署正式合约。</w:t>
      </w:r>
    </w:p>
    <w:p w14:paraId="7BF86BCE">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w:t>
      </w:r>
      <w:r>
        <w:rPr>
          <w:rFonts w:hint="eastAsia" w:ascii="宋体" w:hAnsi="宋体" w:cs="宋体"/>
          <w:color w:val="auto"/>
          <w:kern w:val="0"/>
          <w:szCs w:val="21"/>
          <w:highlight w:val="none"/>
          <w:lang w:val="en-US" w:eastAsia="zh-CN"/>
        </w:rPr>
        <w:t>应</w:t>
      </w:r>
      <w:r>
        <w:rPr>
          <w:rFonts w:hint="eastAsia" w:ascii="宋体" w:hAnsi="宋体" w:cs="宋体"/>
          <w:color w:val="auto"/>
          <w:kern w:val="0"/>
          <w:szCs w:val="21"/>
          <w:highlight w:val="none"/>
        </w:rPr>
        <w:t>在本合同签订后7日内，成立项目组。由项目组提供项目租赁的策划、执行、价格建议、合同</w:t>
      </w:r>
      <w:r>
        <w:rPr>
          <w:rFonts w:hint="eastAsia" w:ascii="宋体" w:hAnsi="宋体" w:cs="宋体"/>
          <w:color w:val="auto"/>
          <w:kern w:val="0"/>
          <w:szCs w:val="21"/>
          <w:highlight w:val="none"/>
          <w:lang w:val="en-US" w:eastAsia="zh-CN"/>
        </w:rPr>
        <w:t>范本</w:t>
      </w:r>
      <w:r>
        <w:rPr>
          <w:rFonts w:hint="eastAsia" w:ascii="宋体" w:hAnsi="宋体" w:cs="宋体"/>
          <w:color w:val="auto"/>
          <w:kern w:val="0"/>
          <w:szCs w:val="21"/>
          <w:highlight w:val="none"/>
        </w:rPr>
        <w:t>条款等相关建议方案，以及制订推广计划书（内容涵盖项目市场定位、客户定位、租赁计划、广告宣传等），根据市场推广计划安排工作时间表，并按阶段性工作要求进行专题工作会议及提供专业市场意见。</w:t>
      </w:r>
      <w:r>
        <w:rPr>
          <w:rFonts w:hint="eastAsia" w:ascii="宋体" w:hAnsi="宋体" w:cs="宋体"/>
          <w:color w:val="auto"/>
          <w:szCs w:val="21"/>
          <w:highlight w:val="none"/>
        </w:rPr>
        <w:t>如甲方未在乙方提交工作成果之日起</w:t>
      </w:r>
      <w:r>
        <w:rPr>
          <w:rFonts w:hint="eastAsia" w:ascii="宋体" w:hAnsi="宋体" w:cs="宋体"/>
          <w:color w:val="auto"/>
          <w:szCs w:val="21"/>
          <w:highlight w:val="none"/>
          <w:lang w:val="en-US" w:eastAsia="zh-CN"/>
        </w:rPr>
        <w:t>10个</w:t>
      </w:r>
      <w:r>
        <w:rPr>
          <w:rFonts w:hint="eastAsia" w:ascii="宋体" w:hAnsi="宋体" w:cs="宋体"/>
          <w:color w:val="auto"/>
          <w:szCs w:val="21"/>
          <w:highlight w:val="none"/>
        </w:rPr>
        <w:t>工作日内提出书面反馈意见的，则视为甲方已完全认可乙方提交的工作成果</w:t>
      </w:r>
      <w:r>
        <w:rPr>
          <w:rFonts w:hint="eastAsia" w:ascii="宋体" w:hAnsi="宋体" w:cs="宋体"/>
          <w:color w:val="auto"/>
          <w:szCs w:val="21"/>
          <w:highlight w:val="none"/>
          <w:lang w:eastAsia="zh-CN"/>
        </w:rPr>
        <w:t>。</w:t>
      </w:r>
    </w:p>
    <w:p w14:paraId="339E242C">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乙方委派专业人员参加由甲方组织的相关</w:t>
      </w:r>
      <w:r>
        <w:rPr>
          <w:rFonts w:hint="eastAsia" w:ascii="宋体" w:hAnsi="宋体" w:cs="宋体"/>
          <w:color w:val="auto"/>
          <w:kern w:val="0"/>
          <w:szCs w:val="21"/>
          <w:highlight w:val="none"/>
          <w:lang w:val="en-US" w:eastAsia="zh-CN"/>
        </w:rPr>
        <w:t>工作</w:t>
      </w:r>
      <w:r>
        <w:rPr>
          <w:rFonts w:hint="eastAsia" w:ascii="宋体" w:hAnsi="宋体" w:cs="宋体"/>
          <w:color w:val="auto"/>
          <w:kern w:val="0"/>
          <w:szCs w:val="21"/>
          <w:highlight w:val="none"/>
        </w:rPr>
        <w:t>会议，向甲方提供</w:t>
      </w:r>
      <w:r>
        <w:rPr>
          <w:rFonts w:hint="eastAsia" w:ascii="宋体" w:hAnsi="宋体" w:cs="宋体"/>
          <w:color w:val="auto"/>
          <w:kern w:val="0"/>
          <w:szCs w:val="21"/>
          <w:highlight w:val="none"/>
          <w:lang w:val="en-US" w:eastAsia="zh-CN"/>
        </w:rPr>
        <w:t>专业</w:t>
      </w:r>
      <w:r>
        <w:rPr>
          <w:rFonts w:hint="eastAsia" w:ascii="宋体" w:hAnsi="宋体" w:cs="宋体"/>
          <w:color w:val="auto"/>
          <w:kern w:val="0"/>
          <w:szCs w:val="21"/>
          <w:highlight w:val="none"/>
        </w:rPr>
        <w:t>建议和合作方案。</w:t>
      </w:r>
    </w:p>
    <w:p w14:paraId="6EB09909">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w:t>
      </w:r>
      <w:r>
        <w:rPr>
          <w:rFonts w:hint="eastAsia" w:ascii="宋体" w:hAnsi="宋体" w:cs="宋体"/>
          <w:color w:val="auto"/>
          <w:kern w:val="0"/>
          <w:szCs w:val="21"/>
          <w:highlight w:val="none"/>
          <w:lang w:val="en-US" w:eastAsia="zh-CN"/>
        </w:rPr>
        <w:t>应</w:t>
      </w:r>
      <w:r>
        <w:rPr>
          <w:rFonts w:hint="eastAsia" w:ascii="宋体" w:hAnsi="宋体" w:cs="宋体"/>
          <w:color w:val="auto"/>
          <w:kern w:val="0"/>
          <w:szCs w:val="21"/>
          <w:highlight w:val="none"/>
        </w:rPr>
        <w:t>根据甲方</w:t>
      </w:r>
      <w:r>
        <w:rPr>
          <w:rFonts w:hint="eastAsia" w:ascii="宋体" w:hAnsi="宋体" w:cs="宋体"/>
          <w:color w:val="auto"/>
          <w:kern w:val="0"/>
          <w:szCs w:val="21"/>
          <w:highlight w:val="none"/>
          <w:lang w:val="en-US" w:eastAsia="zh-CN"/>
        </w:rPr>
        <w:t>的</w:t>
      </w:r>
      <w:r>
        <w:rPr>
          <w:rFonts w:hint="eastAsia" w:ascii="宋体" w:hAnsi="宋体" w:cs="宋体"/>
          <w:color w:val="auto"/>
          <w:kern w:val="0"/>
          <w:szCs w:val="21"/>
          <w:highlight w:val="none"/>
        </w:rPr>
        <w:t>要求协助甲方审核广告公司提出的推广方案、计划，并负责在设计、制作项目租赁推广物料和工具（如导示系统、折页、价目表、与项目形象有关的书面文件、影音制品、租赁中心、样板层等）时提供专业策划意见，监督有关设计、制作工作，并应有效使用上述物料。</w:t>
      </w:r>
    </w:p>
    <w:p w14:paraId="166B880C">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乙方在协助甲方与其它一般代理（广告公司、制作公司、代理公司、客户等）谈判、合作过程中，应维护甲方利益，不得向一般代理收取任何费用。如一般代理介入本项目时乙方已存在与一般代理的</w:t>
      </w:r>
      <w:r>
        <w:rPr>
          <w:rFonts w:hint="eastAsia" w:ascii="宋体" w:hAnsi="宋体" w:cs="宋体"/>
          <w:color w:val="auto"/>
          <w:kern w:val="0"/>
          <w:szCs w:val="21"/>
          <w:highlight w:val="none"/>
          <w:lang w:val="en-US" w:eastAsia="zh-CN"/>
        </w:rPr>
        <w:t>其他合作等</w:t>
      </w:r>
      <w:r>
        <w:rPr>
          <w:rFonts w:hint="eastAsia" w:ascii="宋体" w:hAnsi="宋体" w:cs="宋体"/>
          <w:color w:val="auto"/>
          <w:kern w:val="0"/>
          <w:szCs w:val="21"/>
          <w:highlight w:val="none"/>
        </w:rPr>
        <w:t>利益关系，乙方需及时向甲方作书面说明。</w:t>
      </w:r>
    </w:p>
    <w:p w14:paraId="0F25EDE0">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乙方负责租赁工作的实施，现场招商人员的工作由</w:t>
      </w:r>
      <w:r>
        <w:rPr>
          <w:rFonts w:hint="eastAsia" w:ascii="宋体" w:hAnsi="宋体" w:cs="宋体"/>
          <w:color w:val="auto"/>
          <w:kern w:val="0"/>
          <w:szCs w:val="21"/>
          <w:highlight w:val="none"/>
          <w:lang w:val="en-US" w:eastAsia="zh-CN"/>
        </w:rPr>
        <w:t>乙方和</w:t>
      </w:r>
      <w:r>
        <w:rPr>
          <w:rFonts w:hint="eastAsia" w:ascii="宋体" w:hAnsi="宋体" w:cs="宋体"/>
          <w:color w:val="auto"/>
          <w:kern w:val="0"/>
          <w:szCs w:val="21"/>
          <w:highlight w:val="none"/>
        </w:rPr>
        <w:t>项目经理按照既定的工作计划进行统筹安排，若乙方发生人员更替，需在7日前书面通知甲方，在甲方同意后方可更换。乙方人员</w:t>
      </w:r>
      <w:r>
        <w:rPr>
          <w:rFonts w:hint="eastAsia" w:ascii="宋体" w:hAnsi="宋体" w:cs="宋体"/>
          <w:color w:val="auto"/>
          <w:kern w:val="0"/>
          <w:szCs w:val="21"/>
          <w:highlight w:val="none"/>
          <w:lang w:val="en-US" w:eastAsia="zh-CN"/>
        </w:rPr>
        <w:t>组成及名单详</w:t>
      </w:r>
      <w:r>
        <w:rPr>
          <w:rFonts w:hint="eastAsia" w:ascii="宋体" w:hAnsi="宋体" w:cs="宋体"/>
          <w:color w:val="auto"/>
          <w:kern w:val="0"/>
          <w:szCs w:val="21"/>
          <w:highlight w:val="none"/>
        </w:rPr>
        <w:t>见“合同附件三：乙方服务团队”。</w:t>
      </w:r>
    </w:p>
    <w:p w14:paraId="30620E10">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如乙方所做的宣传资料涉及甲方物业或公司信息，需提前告知甲方</w:t>
      </w:r>
      <w:r>
        <w:rPr>
          <w:rFonts w:hint="eastAsia" w:ascii="宋体" w:hAnsi="宋体" w:cs="宋体"/>
          <w:color w:val="auto"/>
          <w:kern w:val="0"/>
          <w:szCs w:val="21"/>
          <w:highlight w:val="none"/>
          <w:lang w:val="en-US" w:eastAsia="zh-CN"/>
        </w:rPr>
        <w:t>并取得</w:t>
      </w:r>
      <w:r>
        <w:rPr>
          <w:rFonts w:hint="eastAsia" w:ascii="宋体" w:hAnsi="宋体" w:cs="宋体"/>
          <w:color w:val="auto"/>
          <w:kern w:val="0"/>
          <w:szCs w:val="21"/>
          <w:highlight w:val="none"/>
        </w:rPr>
        <w:t>甲方</w:t>
      </w:r>
      <w:r>
        <w:rPr>
          <w:rFonts w:hint="eastAsia" w:ascii="宋体" w:hAnsi="宋体" w:cs="宋体"/>
          <w:color w:val="auto"/>
          <w:kern w:val="0"/>
          <w:szCs w:val="21"/>
          <w:highlight w:val="none"/>
          <w:lang w:val="en-US" w:eastAsia="zh-CN"/>
        </w:rPr>
        <w:t>同意</w:t>
      </w:r>
      <w:r>
        <w:rPr>
          <w:rFonts w:hint="eastAsia" w:ascii="宋体" w:hAnsi="宋体" w:cs="宋体"/>
          <w:color w:val="auto"/>
          <w:kern w:val="0"/>
          <w:szCs w:val="21"/>
          <w:highlight w:val="none"/>
        </w:rPr>
        <w:t>。</w:t>
      </w:r>
    </w:p>
    <w:p w14:paraId="6BF55F13">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乙方不同阶段的具体工作</w:t>
      </w:r>
      <w:r>
        <w:rPr>
          <w:rFonts w:hint="eastAsia" w:ascii="宋体" w:hAnsi="宋体" w:cs="宋体"/>
          <w:color w:val="auto"/>
          <w:kern w:val="0"/>
          <w:szCs w:val="21"/>
          <w:highlight w:val="none"/>
          <w:lang w:val="en-US" w:eastAsia="zh-CN"/>
        </w:rPr>
        <w:t>应</w:t>
      </w:r>
      <w:r>
        <w:rPr>
          <w:rFonts w:hint="eastAsia" w:ascii="宋体" w:hAnsi="宋体" w:cs="宋体"/>
          <w:color w:val="auto"/>
          <w:kern w:val="0"/>
          <w:szCs w:val="21"/>
          <w:highlight w:val="none"/>
        </w:rPr>
        <w:t>根据</w:t>
      </w:r>
      <w:r>
        <w:rPr>
          <w:rFonts w:hint="eastAsia" w:ascii="宋体" w:hAnsi="宋体" w:cs="宋体"/>
          <w:color w:val="auto"/>
          <w:kern w:val="0"/>
          <w:szCs w:val="21"/>
          <w:highlight w:val="none"/>
          <w:lang w:val="en-US" w:eastAsia="zh-CN"/>
        </w:rPr>
        <w:t>推进</w:t>
      </w:r>
      <w:r>
        <w:rPr>
          <w:rFonts w:hint="eastAsia" w:ascii="宋体" w:hAnsi="宋体" w:cs="宋体"/>
          <w:color w:val="auto"/>
          <w:kern w:val="0"/>
          <w:szCs w:val="21"/>
          <w:highlight w:val="none"/>
        </w:rPr>
        <w:t>情况</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就项目工作成果内容及进度与甲方商讨交流</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如实反馈工作进度及存在的问题</w:t>
      </w:r>
      <w:r>
        <w:rPr>
          <w:rFonts w:hint="eastAsia" w:ascii="宋体" w:hAnsi="宋体" w:cs="宋体"/>
          <w:color w:val="auto"/>
          <w:kern w:val="0"/>
          <w:szCs w:val="21"/>
          <w:highlight w:val="none"/>
        </w:rPr>
        <w:t>。</w:t>
      </w:r>
    </w:p>
    <w:p w14:paraId="558D37B8">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乙方作为本项目的首席租赁代理，应统筹管理其它代理公司共同推荐本项目</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rPr>
        <w:t>并在管理职责范围内对统筹管理的一般代理公司的行为承担连带责任。乙方需配合其他一般代理的正常客户考察、</w:t>
      </w:r>
      <w:r>
        <w:rPr>
          <w:rFonts w:hint="eastAsia" w:ascii="宋体" w:hAnsi="宋体" w:cs="宋体"/>
          <w:color w:val="auto"/>
          <w:kern w:val="0"/>
          <w:szCs w:val="21"/>
          <w:highlight w:val="none"/>
          <w:lang w:val="en-US" w:eastAsia="zh-CN"/>
        </w:rPr>
        <w:t>咨询、</w:t>
      </w:r>
      <w:r>
        <w:rPr>
          <w:rFonts w:hint="eastAsia" w:ascii="宋体" w:hAnsi="宋体" w:cs="宋体"/>
          <w:color w:val="auto"/>
          <w:kern w:val="0"/>
          <w:szCs w:val="21"/>
          <w:highlight w:val="none"/>
        </w:rPr>
        <w:t>问询等中介活动，不得阻碍</w:t>
      </w:r>
      <w:r>
        <w:rPr>
          <w:rFonts w:hint="eastAsia" w:ascii="宋体" w:hAnsi="宋体" w:cs="宋体"/>
          <w:color w:val="auto"/>
          <w:kern w:val="0"/>
          <w:szCs w:val="21"/>
          <w:highlight w:val="none"/>
          <w:lang w:val="en-US" w:eastAsia="zh-CN"/>
        </w:rPr>
        <w:t>或无故</w:t>
      </w:r>
      <w:r>
        <w:rPr>
          <w:rFonts w:hint="eastAsia" w:ascii="宋体" w:hAnsi="宋体" w:cs="宋体"/>
          <w:color w:val="auto"/>
          <w:kern w:val="0"/>
          <w:szCs w:val="21"/>
          <w:highlight w:val="none"/>
        </w:rPr>
        <w:t>拖延。</w:t>
      </w:r>
    </w:p>
    <w:p w14:paraId="5D738D0D">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乙方在租赁过程中，应根据项目特性和状况向客户如实介绍，不得夸大、欺骗或过度承诺，对乙方未经甲方授权而做出的越权承诺所引起的纠纷由乙方承担全部责任</w:t>
      </w:r>
      <w:r>
        <w:rPr>
          <w:rFonts w:hint="eastAsia" w:ascii="宋体" w:hAnsi="宋体" w:cs="宋体"/>
          <w:color w:val="auto"/>
          <w:kern w:val="0"/>
          <w:szCs w:val="21"/>
          <w:highlight w:val="none"/>
          <w:lang w:eastAsia="zh-CN"/>
        </w:rPr>
        <w:t>，</w:t>
      </w:r>
      <w:r>
        <w:rPr>
          <w:rFonts w:hint="eastAsia" w:ascii="宋体" w:hAnsi="宋体" w:cs="宋体"/>
          <w:color w:val="auto"/>
          <w:kern w:val="0"/>
          <w:szCs w:val="21"/>
          <w:highlight w:val="none"/>
          <w:lang w:val="en-US" w:eastAsia="zh-CN"/>
        </w:rPr>
        <w:t>造成甲方损失的，乙方应当承担赔偿责任</w:t>
      </w:r>
      <w:r>
        <w:rPr>
          <w:rFonts w:hint="eastAsia" w:ascii="宋体" w:hAnsi="宋体" w:cs="宋体"/>
          <w:color w:val="auto"/>
          <w:kern w:val="0"/>
          <w:szCs w:val="21"/>
          <w:highlight w:val="none"/>
        </w:rPr>
        <w:t>。</w:t>
      </w:r>
    </w:p>
    <w:p w14:paraId="305D81EA">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乙方应信守甲、乙双方协商确定的租赁价格与客户进行洽谈，非经甲方授权，不得擅自给予客户任何形式的</w:t>
      </w:r>
      <w:r>
        <w:rPr>
          <w:rFonts w:hint="eastAsia" w:ascii="宋体" w:hAnsi="宋体" w:cs="宋体"/>
          <w:color w:val="auto"/>
          <w:kern w:val="0"/>
          <w:szCs w:val="21"/>
          <w:highlight w:val="none"/>
          <w:lang w:val="en-US" w:eastAsia="zh-CN"/>
        </w:rPr>
        <w:t>租金</w:t>
      </w:r>
      <w:r>
        <w:rPr>
          <w:rFonts w:hint="eastAsia" w:ascii="宋体" w:hAnsi="宋体" w:cs="宋体"/>
          <w:color w:val="auto"/>
          <w:kern w:val="0"/>
          <w:szCs w:val="21"/>
          <w:highlight w:val="none"/>
        </w:rPr>
        <w:t>折扣</w:t>
      </w:r>
      <w:r>
        <w:rPr>
          <w:rFonts w:hint="eastAsia" w:ascii="宋体" w:hAnsi="宋体" w:cs="宋体"/>
          <w:color w:val="auto"/>
          <w:kern w:val="0"/>
          <w:szCs w:val="21"/>
          <w:highlight w:val="none"/>
          <w:lang w:val="en-US" w:eastAsia="zh-CN"/>
        </w:rPr>
        <w:t>或相关承诺</w:t>
      </w:r>
      <w:r>
        <w:rPr>
          <w:rFonts w:hint="eastAsia" w:ascii="宋体" w:hAnsi="宋体" w:cs="宋体"/>
          <w:color w:val="auto"/>
          <w:kern w:val="0"/>
          <w:szCs w:val="21"/>
          <w:highlight w:val="none"/>
        </w:rPr>
        <w:t>；若遇特殊情况（如客户系世界500强企业</w:t>
      </w:r>
      <w:r>
        <w:rPr>
          <w:rFonts w:hint="eastAsia" w:ascii="宋体" w:hAnsi="宋体" w:cs="宋体"/>
          <w:color w:val="auto"/>
          <w:kern w:val="0"/>
          <w:szCs w:val="21"/>
          <w:highlight w:val="none"/>
          <w:lang w:val="en-US" w:eastAsia="zh-CN"/>
        </w:rPr>
        <w:t>或国内大型央国企</w:t>
      </w:r>
      <w:r>
        <w:rPr>
          <w:rFonts w:hint="eastAsia" w:ascii="宋体" w:hAnsi="宋体" w:cs="宋体"/>
          <w:color w:val="auto"/>
          <w:kern w:val="0"/>
          <w:szCs w:val="21"/>
          <w:highlight w:val="none"/>
        </w:rPr>
        <w:t>），乙方应及时通知甲方，经甲方书面同意后，作为个案协商处理。</w:t>
      </w:r>
    </w:p>
    <w:p w14:paraId="0ED77BFA">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本合同执行期内，乙方可自行通过媒体发布本项目的租赁信息或在其公司的宣传资料、内部刊物和网站中宣传推广本项目，费用由乙方自行负担。乙方自行发布的本项目有关信息须真实、准确，不得与经甲方审定的项目宣传推广资料矛盾。乙方在对本项目进行宣传推广过程中应注意不得侵犯第三人知识产权，由此产生的侵权赔偿责任应由乙方承担，与甲方无关。</w:t>
      </w:r>
    </w:p>
    <w:p w14:paraId="38CC6535">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乙方须保守甲方的商业秘密，</w:t>
      </w:r>
      <w:r>
        <w:rPr>
          <w:rFonts w:hint="eastAsia" w:ascii="宋体" w:hAnsi="宋体" w:cs="宋体"/>
          <w:color w:val="auto"/>
          <w:kern w:val="0"/>
          <w:szCs w:val="21"/>
          <w:highlight w:val="none"/>
          <w:lang w:val="en-US" w:eastAsia="zh-CN"/>
        </w:rPr>
        <w:t>未经甲方同意，</w:t>
      </w:r>
      <w:r>
        <w:rPr>
          <w:rFonts w:hint="eastAsia" w:ascii="宋体" w:hAnsi="宋体" w:cs="宋体"/>
          <w:color w:val="auto"/>
          <w:kern w:val="0"/>
          <w:szCs w:val="21"/>
          <w:highlight w:val="none"/>
        </w:rPr>
        <w:t>不得</w:t>
      </w:r>
      <w:r>
        <w:rPr>
          <w:rFonts w:hint="eastAsia" w:ascii="宋体" w:hAnsi="宋体" w:cs="宋体"/>
          <w:color w:val="auto"/>
          <w:kern w:val="0"/>
          <w:szCs w:val="21"/>
          <w:highlight w:val="none"/>
          <w:lang w:val="en-US" w:eastAsia="zh-CN"/>
        </w:rPr>
        <w:t>向任何第三方</w:t>
      </w:r>
      <w:r>
        <w:rPr>
          <w:rFonts w:hint="eastAsia" w:ascii="宋体" w:hAnsi="宋体" w:cs="宋体"/>
          <w:color w:val="auto"/>
          <w:kern w:val="0"/>
          <w:szCs w:val="21"/>
          <w:highlight w:val="none"/>
        </w:rPr>
        <w:t>泄露</w:t>
      </w:r>
      <w:r>
        <w:rPr>
          <w:rFonts w:hint="eastAsia" w:ascii="宋体" w:hAnsi="宋体" w:cs="宋体"/>
          <w:color w:val="auto"/>
          <w:kern w:val="0"/>
          <w:szCs w:val="21"/>
          <w:highlight w:val="none"/>
          <w:lang w:val="en-US" w:eastAsia="zh-CN"/>
        </w:rPr>
        <w:t>获知的</w:t>
      </w:r>
      <w:r>
        <w:rPr>
          <w:rFonts w:hint="eastAsia" w:ascii="宋体" w:hAnsi="宋体" w:cs="宋体"/>
          <w:color w:val="auto"/>
          <w:kern w:val="0"/>
          <w:szCs w:val="21"/>
          <w:highlight w:val="none"/>
        </w:rPr>
        <w:t>甲方商业</w:t>
      </w:r>
      <w:r>
        <w:rPr>
          <w:rFonts w:hint="eastAsia" w:ascii="宋体" w:hAnsi="宋体" w:cs="宋体"/>
          <w:color w:val="auto"/>
          <w:kern w:val="0"/>
          <w:szCs w:val="21"/>
          <w:highlight w:val="none"/>
          <w:lang w:val="en-US" w:eastAsia="zh-CN"/>
        </w:rPr>
        <w:t>信息</w:t>
      </w:r>
      <w:r>
        <w:rPr>
          <w:rFonts w:hint="eastAsia" w:ascii="宋体" w:hAnsi="宋体" w:cs="宋体"/>
          <w:color w:val="auto"/>
          <w:kern w:val="0"/>
          <w:szCs w:val="21"/>
          <w:highlight w:val="none"/>
        </w:rPr>
        <w:t>。</w:t>
      </w:r>
    </w:p>
    <w:p w14:paraId="4EE67B80">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乙方在收取</w:t>
      </w:r>
      <w:r>
        <w:rPr>
          <w:rFonts w:hint="eastAsia" w:ascii="宋体" w:hAnsi="宋体" w:cs="宋体"/>
          <w:color w:val="auto"/>
          <w:kern w:val="0"/>
          <w:szCs w:val="21"/>
          <w:highlight w:val="none"/>
          <w:lang w:val="en-US" w:eastAsia="zh-CN"/>
        </w:rPr>
        <w:t>营销策划顾问费和</w:t>
      </w:r>
      <w:r>
        <w:rPr>
          <w:rFonts w:hint="eastAsia" w:ascii="宋体" w:hAnsi="宋体" w:cs="宋体"/>
          <w:color w:val="auto"/>
          <w:kern w:val="0"/>
          <w:szCs w:val="21"/>
          <w:highlight w:val="none"/>
        </w:rPr>
        <w:t>佣金代理费时，应</w:t>
      </w:r>
      <w:r>
        <w:rPr>
          <w:rFonts w:hint="eastAsia" w:ascii="宋体" w:hAnsi="宋体" w:cs="宋体"/>
          <w:color w:val="auto"/>
          <w:kern w:val="0"/>
          <w:szCs w:val="21"/>
          <w:highlight w:val="none"/>
          <w:lang w:val="en-US" w:eastAsia="zh-CN"/>
        </w:rPr>
        <w:t>按甲方要求</w:t>
      </w:r>
      <w:r>
        <w:rPr>
          <w:rFonts w:hint="eastAsia" w:ascii="宋体" w:hAnsi="宋体" w:cs="宋体"/>
          <w:color w:val="auto"/>
          <w:kern w:val="0"/>
          <w:szCs w:val="21"/>
          <w:highlight w:val="none"/>
        </w:rPr>
        <w:t>提供增值税专用发票</w:t>
      </w:r>
      <w:r>
        <w:rPr>
          <w:rFonts w:hint="eastAsia" w:ascii="宋体" w:hAnsi="宋体" w:cs="宋体"/>
          <w:color w:val="auto"/>
          <w:kern w:val="0"/>
          <w:szCs w:val="21"/>
          <w:highlight w:val="none"/>
          <w:lang w:val="en-US" w:eastAsia="zh-CN"/>
        </w:rPr>
        <w:t>等材料</w:t>
      </w:r>
      <w:r>
        <w:rPr>
          <w:rFonts w:hint="eastAsia" w:ascii="宋体" w:hAnsi="宋体" w:cs="宋体"/>
          <w:color w:val="auto"/>
          <w:kern w:val="0"/>
          <w:szCs w:val="21"/>
          <w:highlight w:val="none"/>
        </w:rPr>
        <w:t>，各种付款所需资料费用全部由乙方承担。</w:t>
      </w:r>
    </w:p>
    <w:p w14:paraId="70E6D69A">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highlight w:val="none"/>
        </w:rPr>
        <w:t>乙方须按</w:t>
      </w:r>
      <w:r>
        <w:rPr>
          <w:rFonts w:ascii="宋体" w:hAnsi="宋体" w:cs="宋体"/>
          <w:color w:val="auto"/>
          <w:kern w:val="0"/>
          <w:highlight w:val="none"/>
        </w:rPr>
        <w:t>甲方</w:t>
      </w:r>
      <w:r>
        <w:rPr>
          <w:rFonts w:hint="eastAsia" w:ascii="宋体" w:hAnsi="宋体" w:cs="宋体"/>
          <w:color w:val="auto"/>
          <w:kern w:val="0"/>
          <w:highlight w:val="none"/>
        </w:rPr>
        <w:t>批准的租赁价格、租赁计划推进租赁工作。</w:t>
      </w:r>
    </w:p>
    <w:p w14:paraId="1D0E61FC">
      <w:pPr>
        <w:numPr>
          <w:ilvl w:val="1"/>
          <w:numId w:val="5"/>
        </w:numPr>
        <w:autoSpaceDE w:val="0"/>
        <w:autoSpaceDN w:val="0"/>
        <w:adjustRightInd w:val="0"/>
        <w:snapToGrid w:val="0"/>
        <w:spacing w:before="93" w:beforeLines="30" w:line="360" w:lineRule="auto"/>
        <w:ind w:hanging="496"/>
        <w:jc w:val="left"/>
        <w:rPr>
          <w:rFonts w:hint="eastAsia" w:ascii="宋体" w:hAnsi="宋体" w:cs="宋体"/>
          <w:color w:val="auto"/>
          <w:kern w:val="0"/>
          <w:szCs w:val="21"/>
          <w:highlight w:val="none"/>
        </w:rPr>
      </w:pPr>
      <w:r>
        <w:rPr>
          <w:rFonts w:hint="eastAsia" w:ascii="宋体" w:hAnsi="宋体" w:cs="宋体"/>
          <w:color w:val="auto"/>
          <w:kern w:val="0"/>
          <w:szCs w:val="21"/>
          <w:highlight w:val="none"/>
        </w:rPr>
        <w:t>对因履行</w:t>
      </w:r>
      <w:r>
        <w:rPr>
          <w:rFonts w:hint="eastAsia" w:ascii="宋体" w:hAnsi="宋体" w:cs="宋体"/>
          <w:color w:val="auto"/>
          <w:kern w:val="0"/>
          <w:szCs w:val="21"/>
          <w:highlight w:val="none"/>
          <w:lang w:val="en-US" w:eastAsia="zh-CN"/>
        </w:rPr>
        <w:t>本</w:t>
      </w:r>
      <w:r>
        <w:rPr>
          <w:rFonts w:hint="eastAsia" w:ascii="宋体" w:hAnsi="宋体" w:cs="宋体"/>
          <w:color w:val="auto"/>
          <w:kern w:val="0"/>
          <w:szCs w:val="21"/>
          <w:highlight w:val="none"/>
        </w:rPr>
        <w:t>合同过程中的违约行为向甲方承担违约责任，因自身行为给甲方或第三方造成的损害或损失承担赔偿等责任。</w:t>
      </w:r>
    </w:p>
    <w:p w14:paraId="77CC9BB4">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70" w:name="_Toc3033"/>
      <w:bookmarkStart w:id="471" w:name="_Toc219170981"/>
      <w:bookmarkStart w:id="472" w:name="_Toc459571389"/>
      <w:r>
        <w:rPr>
          <w:rFonts w:hint="eastAsia" w:ascii="宋体" w:hAnsi="宋体" w:eastAsia="宋体"/>
          <w:color w:val="auto"/>
          <w:sz w:val="24"/>
          <w:szCs w:val="24"/>
          <w:highlight w:val="none"/>
          <w:lang w:val="en-US" w:eastAsia="zh-CN"/>
        </w:rPr>
        <w:t>服务</w:t>
      </w:r>
      <w:r>
        <w:rPr>
          <w:rFonts w:hint="eastAsia" w:ascii="宋体" w:hAnsi="宋体" w:eastAsia="宋体"/>
          <w:color w:val="auto"/>
          <w:sz w:val="24"/>
          <w:szCs w:val="24"/>
          <w:highlight w:val="none"/>
        </w:rPr>
        <w:t>收费标准和收费方式</w:t>
      </w:r>
      <w:bookmarkEnd w:id="470"/>
      <w:bookmarkEnd w:id="471"/>
      <w:bookmarkEnd w:id="472"/>
    </w:p>
    <w:p w14:paraId="67593D12">
      <w:pPr>
        <w:pStyle w:val="57"/>
        <w:spacing w:before="30" w:line="360" w:lineRule="auto"/>
        <w:ind w:firstLine="420" w:firstLineChars="200"/>
        <w:jc w:val="both"/>
        <w:rPr>
          <w:rFonts w:hint="eastAsia" w:hAnsi="宋体"/>
          <w:color w:val="auto"/>
          <w:sz w:val="21"/>
          <w:szCs w:val="21"/>
          <w:highlight w:val="none"/>
        </w:rPr>
      </w:pPr>
      <w:r>
        <w:rPr>
          <w:rFonts w:hint="eastAsia" w:hAnsi="宋体"/>
          <w:color w:val="auto"/>
          <w:sz w:val="21"/>
          <w:szCs w:val="21"/>
          <w:highlight w:val="none"/>
          <w:lang w:val="en-US" w:eastAsia="zh-CN"/>
        </w:rPr>
        <w:t>本合同服务</w:t>
      </w:r>
      <w:r>
        <w:rPr>
          <w:rFonts w:hint="eastAsia" w:hAnsi="宋体"/>
          <w:color w:val="auto"/>
          <w:sz w:val="21"/>
          <w:szCs w:val="21"/>
          <w:highlight w:val="none"/>
        </w:rPr>
        <w:t>费由营销</w:t>
      </w:r>
      <w:r>
        <w:rPr>
          <w:rFonts w:hint="eastAsia" w:hAnsi="宋体"/>
          <w:color w:val="auto"/>
          <w:sz w:val="21"/>
          <w:szCs w:val="21"/>
          <w:highlight w:val="none"/>
          <w:lang w:val="en-US" w:eastAsia="zh-CN"/>
        </w:rPr>
        <w:t>策划</w:t>
      </w:r>
      <w:r>
        <w:rPr>
          <w:rFonts w:hint="eastAsia" w:hAnsi="宋体"/>
          <w:color w:val="auto"/>
          <w:sz w:val="21"/>
          <w:szCs w:val="21"/>
          <w:highlight w:val="none"/>
        </w:rPr>
        <w:t>顾问费用</w:t>
      </w:r>
      <w:r>
        <w:rPr>
          <w:rFonts w:hint="eastAsia" w:hAnsi="宋体"/>
          <w:color w:val="auto"/>
          <w:sz w:val="21"/>
          <w:szCs w:val="21"/>
          <w:highlight w:val="none"/>
          <w:lang w:val="en-US" w:eastAsia="zh-CN"/>
        </w:rPr>
        <w:t>和</w:t>
      </w:r>
      <w:r>
        <w:rPr>
          <w:rFonts w:hint="eastAsia" w:hAnsi="宋体"/>
          <w:color w:val="auto"/>
          <w:sz w:val="21"/>
          <w:szCs w:val="21"/>
          <w:highlight w:val="none"/>
          <w:lang w:eastAsia="zh-CN"/>
        </w:rPr>
        <w:t>租赁代理费用</w:t>
      </w:r>
      <w:r>
        <w:rPr>
          <w:rFonts w:hint="eastAsia" w:hAnsi="宋体"/>
          <w:color w:val="auto"/>
          <w:sz w:val="21"/>
          <w:szCs w:val="21"/>
          <w:highlight w:val="none"/>
          <w:lang w:val="en-US" w:eastAsia="zh-CN"/>
        </w:rPr>
        <w:t>两</w:t>
      </w:r>
      <w:r>
        <w:rPr>
          <w:rFonts w:hint="eastAsia" w:hAnsi="宋体"/>
          <w:color w:val="auto"/>
          <w:sz w:val="21"/>
          <w:szCs w:val="21"/>
          <w:highlight w:val="none"/>
        </w:rPr>
        <w:t>部分组成，各部分费用标准如下：</w:t>
      </w:r>
    </w:p>
    <w:p w14:paraId="45D653F9">
      <w:pPr>
        <w:pStyle w:val="57"/>
        <w:spacing w:before="30" w:line="360" w:lineRule="auto"/>
        <w:ind w:firstLine="422" w:firstLineChars="200"/>
        <w:jc w:val="both"/>
        <w:rPr>
          <w:rFonts w:hint="eastAsia" w:hAnsi="宋体"/>
          <w:color w:val="auto"/>
          <w:sz w:val="21"/>
          <w:highlight w:val="none"/>
        </w:rPr>
      </w:pPr>
      <w:r>
        <w:rPr>
          <w:rFonts w:hint="eastAsia" w:hAnsi="宋体"/>
          <w:b/>
          <w:color w:val="auto"/>
          <w:sz w:val="21"/>
          <w:highlight w:val="none"/>
        </w:rPr>
        <w:t>6.1营销</w:t>
      </w:r>
      <w:r>
        <w:rPr>
          <w:rFonts w:hint="eastAsia" w:hAnsi="宋体"/>
          <w:b/>
          <w:color w:val="auto"/>
          <w:sz w:val="21"/>
          <w:highlight w:val="none"/>
          <w:lang w:val="en-US" w:eastAsia="zh-CN"/>
        </w:rPr>
        <w:t>策划</w:t>
      </w:r>
      <w:r>
        <w:rPr>
          <w:rFonts w:hint="eastAsia" w:hAnsi="宋体"/>
          <w:b/>
          <w:color w:val="auto"/>
          <w:sz w:val="21"/>
          <w:highlight w:val="none"/>
        </w:rPr>
        <w:t>顾问</w:t>
      </w:r>
      <w:r>
        <w:rPr>
          <w:rFonts w:hAnsi="宋体"/>
          <w:b/>
          <w:color w:val="auto"/>
          <w:sz w:val="21"/>
          <w:highlight w:val="none"/>
        </w:rPr>
        <w:t>费用</w:t>
      </w:r>
      <w:r>
        <w:rPr>
          <w:rFonts w:hint="eastAsia" w:hAnsi="宋体"/>
          <w:color w:val="auto"/>
          <w:sz w:val="21"/>
          <w:highlight w:val="none"/>
        </w:rPr>
        <w:t>：每月人民币</w:t>
      </w:r>
      <w:r>
        <w:rPr>
          <w:rFonts w:hint="eastAsia" w:hAnsi="宋体"/>
          <w:color w:val="auto"/>
          <w:sz w:val="21"/>
          <w:highlight w:val="none"/>
          <w:u w:val="single"/>
          <w:lang w:eastAsia="zh-CN"/>
        </w:rPr>
        <w:t xml:space="preserve"> </w:t>
      </w:r>
      <w:r>
        <w:rPr>
          <w:rFonts w:hint="eastAsia" w:hAnsi="宋体"/>
          <w:color w:val="auto"/>
          <w:sz w:val="21"/>
          <w:highlight w:val="none"/>
          <w:u w:val="single"/>
          <w:lang w:val="en-US" w:eastAsia="zh-CN"/>
        </w:rPr>
        <w:t xml:space="preserve">    </w:t>
      </w:r>
      <w:r>
        <w:rPr>
          <w:rFonts w:hint="eastAsia" w:hAnsi="宋体"/>
          <w:color w:val="auto"/>
          <w:sz w:val="21"/>
          <w:highlight w:val="none"/>
        </w:rPr>
        <w:t>元整（¥</w:t>
      </w:r>
      <w:r>
        <w:rPr>
          <w:rFonts w:hint="eastAsia" w:hAnsi="宋体"/>
          <w:color w:val="auto"/>
          <w:sz w:val="21"/>
          <w:highlight w:val="none"/>
          <w:u w:val="single"/>
          <w:lang w:val="en-US" w:eastAsia="zh-CN"/>
        </w:rPr>
        <w:t xml:space="preserve">      元</w:t>
      </w:r>
      <w:r>
        <w:rPr>
          <w:rFonts w:hint="eastAsia" w:hAnsi="宋体"/>
          <w:color w:val="auto"/>
          <w:sz w:val="21"/>
          <w:highlight w:val="none"/>
        </w:rPr>
        <w:t>）</w:t>
      </w:r>
      <w:r>
        <w:rPr>
          <w:rFonts w:hint="eastAsia" w:hAnsi="宋体"/>
          <w:color w:val="auto"/>
          <w:sz w:val="21"/>
          <w:highlight w:val="none"/>
          <w:lang w:eastAsia="zh-CN"/>
        </w:rPr>
        <w:t>，</w:t>
      </w:r>
      <w:r>
        <w:rPr>
          <w:rFonts w:hint="eastAsia" w:hAnsi="宋体"/>
          <w:color w:val="auto"/>
          <w:sz w:val="21"/>
          <w:highlight w:val="none"/>
          <w:lang w:val="en-US" w:eastAsia="zh-CN"/>
        </w:rPr>
        <w:t>采用固定单价包干</w:t>
      </w:r>
      <w:r>
        <w:rPr>
          <w:rFonts w:hint="eastAsia" w:hAnsi="宋体"/>
          <w:color w:val="auto"/>
          <w:sz w:val="21"/>
          <w:highlight w:val="none"/>
        </w:rPr>
        <w:t>。</w:t>
      </w:r>
    </w:p>
    <w:p w14:paraId="04C6A97C">
      <w:pPr>
        <w:pStyle w:val="57"/>
        <w:spacing w:before="30" w:line="360" w:lineRule="auto"/>
        <w:ind w:firstLine="422" w:firstLineChars="200"/>
        <w:jc w:val="both"/>
        <w:rPr>
          <w:rFonts w:hint="default" w:hAnsi="宋体" w:eastAsia="宋体"/>
          <w:color w:val="auto"/>
          <w:sz w:val="21"/>
          <w:highlight w:val="none"/>
          <w:lang w:val="en-US" w:eastAsia="zh-CN"/>
        </w:rPr>
      </w:pPr>
      <w:r>
        <w:rPr>
          <w:rFonts w:hint="eastAsia" w:hAnsi="宋体"/>
          <w:b/>
          <w:color w:val="auto"/>
          <w:sz w:val="21"/>
          <w:highlight w:val="none"/>
        </w:rPr>
        <w:t>6.2租赁代理费用：</w:t>
      </w:r>
      <w:r>
        <w:rPr>
          <w:rFonts w:hint="eastAsia" w:hAnsi="宋体"/>
          <w:color w:val="auto"/>
          <w:sz w:val="21"/>
          <w:highlight w:val="none"/>
        </w:rPr>
        <w:t>包括基</w:t>
      </w:r>
      <w:r>
        <w:rPr>
          <w:rFonts w:hint="eastAsia" w:hAnsi="宋体"/>
          <w:color w:val="auto"/>
          <w:sz w:val="21"/>
          <w:highlight w:val="none"/>
          <w:lang w:val="en-US" w:eastAsia="zh-CN"/>
        </w:rPr>
        <w:t>基础</w:t>
      </w:r>
      <w:r>
        <w:rPr>
          <w:rFonts w:hint="eastAsia" w:hAnsi="宋体"/>
          <w:color w:val="auto"/>
          <w:sz w:val="21"/>
          <w:highlight w:val="none"/>
        </w:rPr>
        <w:t>代理佣金、统筹管理佣金、激励佣金三部分佣金</w:t>
      </w:r>
      <w:r>
        <w:rPr>
          <w:rFonts w:hint="eastAsia" w:hAnsi="宋体"/>
          <w:color w:val="auto"/>
          <w:sz w:val="21"/>
          <w:highlight w:val="none"/>
          <w:lang w:eastAsia="zh-CN"/>
        </w:rPr>
        <w:t>，</w:t>
      </w:r>
      <w:r>
        <w:rPr>
          <w:rFonts w:hint="eastAsia" w:hAnsi="宋体"/>
          <w:color w:val="auto"/>
          <w:sz w:val="21"/>
          <w:highlight w:val="none"/>
          <w:lang w:val="en-US" w:eastAsia="zh-CN"/>
        </w:rPr>
        <w:t>采用固定费率包干。</w:t>
      </w:r>
    </w:p>
    <w:p w14:paraId="2A42CFB6">
      <w:pPr>
        <w:autoSpaceDE w:val="0"/>
        <w:autoSpaceDN w:val="0"/>
        <w:adjustRightInd w:val="0"/>
        <w:snapToGrid w:val="0"/>
        <w:spacing w:before="93" w:beforeLines="30" w:line="360" w:lineRule="auto"/>
        <w:ind w:firstLine="630" w:firstLineChars="300"/>
        <w:jc w:val="left"/>
        <w:rPr>
          <w:rFonts w:hint="eastAsia" w:ascii="宋体" w:hAnsi="宋体"/>
          <w:b/>
          <w:color w:val="auto"/>
          <w:szCs w:val="21"/>
          <w:highlight w:val="none"/>
        </w:rPr>
      </w:pPr>
      <w:r>
        <w:rPr>
          <w:rFonts w:hint="eastAsia" w:ascii="宋体" w:hAnsi="宋体"/>
          <w:b/>
          <w:color w:val="auto"/>
          <w:szCs w:val="21"/>
          <w:highlight w:val="none"/>
        </w:rPr>
        <w:t>6.2.1</w:t>
      </w:r>
      <w:r>
        <w:rPr>
          <w:rFonts w:hint="eastAsia" w:hAnsi="宋体"/>
          <w:color w:val="auto"/>
          <w:sz w:val="21"/>
          <w:highlight w:val="none"/>
        </w:rPr>
        <w:t>基</w:t>
      </w:r>
      <w:r>
        <w:rPr>
          <w:rFonts w:hint="eastAsia" w:hAnsi="宋体"/>
          <w:color w:val="auto"/>
          <w:sz w:val="21"/>
          <w:highlight w:val="none"/>
          <w:lang w:val="en-US" w:eastAsia="zh-CN"/>
        </w:rPr>
        <w:t>础</w:t>
      </w:r>
      <w:r>
        <w:rPr>
          <w:rFonts w:hint="eastAsia" w:hAnsi="宋体"/>
          <w:color w:val="auto"/>
          <w:sz w:val="21"/>
          <w:highlight w:val="none"/>
        </w:rPr>
        <w:t>代理佣金</w:t>
      </w:r>
    </w:p>
    <w:p w14:paraId="4713900E">
      <w:pPr>
        <w:widowControl/>
        <w:numPr>
          <w:ilvl w:val="0"/>
          <w:numId w:val="6"/>
        </w:numPr>
        <w:tabs>
          <w:tab w:val="left" w:pos="743"/>
        </w:tabs>
        <w:spacing w:before="93" w:beforeLines="30" w:line="360" w:lineRule="auto"/>
        <w:ind w:left="743" w:hanging="425"/>
        <w:rPr>
          <w:rFonts w:hint="eastAsia" w:ascii="宋体" w:hAnsi="宋体" w:cs="宋体"/>
          <w:color w:val="auto"/>
          <w:kern w:val="0"/>
          <w:highlight w:val="none"/>
        </w:rPr>
      </w:pPr>
      <w:r>
        <w:rPr>
          <w:rFonts w:ascii="宋体" w:hAnsi="宋体"/>
          <w:b/>
          <w:color w:val="auto"/>
          <w:szCs w:val="21"/>
          <w:highlight w:val="none"/>
        </w:rPr>
        <w:t>基</w:t>
      </w:r>
      <w:r>
        <w:rPr>
          <w:rFonts w:hint="eastAsia" w:ascii="宋体" w:hAnsi="宋体"/>
          <w:b/>
          <w:color w:val="auto"/>
          <w:szCs w:val="21"/>
          <w:highlight w:val="none"/>
          <w:lang w:val="en-US" w:eastAsia="zh-CN"/>
        </w:rPr>
        <w:t>础</w:t>
      </w:r>
      <w:r>
        <w:rPr>
          <w:rFonts w:ascii="宋体" w:hAnsi="宋体"/>
          <w:b/>
          <w:color w:val="auto"/>
          <w:szCs w:val="21"/>
          <w:highlight w:val="none"/>
        </w:rPr>
        <w:t>代理佣金金额：</w:t>
      </w:r>
      <w:r>
        <w:rPr>
          <w:rFonts w:hint="eastAsia" w:ascii="宋体" w:hAnsi="宋体"/>
          <w:b/>
          <w:color w:val="auto"/>
          <w:szCs w:val="21"/>
          <w:highlight w:val="none"/>
          <w:lang w:val="en-US" w:eastAsia="zh-CN"/>
        </w:rPr>
        <w:t>指</w:t>
      </w:r>
      <w:r>
        <w:rPr>
          <w:rFonts w:hint="eastAsia" w:ascii="宋体" w:hAnsi="宋体"/>
          <w:color w:val="auto"/>
          <w:szCs w:val="21"/>
          <w:highlight w:val="none"/>
        </w:rPr>
        <w:t>甲方</w:t>
      </w:r>
      <w:r>
        <w:rPr>
          <w:rFonts w:ascii="宋体" w:hAnsi="宋体"/>
          <w:color w:val="auto"/>
          <w:szCs w:val="21"/>
          <w:highlight w:val="none"/>
        </w:rPr>
        <w:t>与成交租户最终签署的租赁合同中规定的首年首月</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如有免租期，则为首年免租期后首月</w:t>
      </w:r>
      <w:r>
        <w:rPr>
          <w:rFonts w:hint="eastAsia" w:ascii="宋体" w:hAnsi="宋体"/>
          <w:color w:val="auto"/>
          <w:szCs w:val="21"/>
          <w:highlight w:val="none"/>
          <w:lang w:eastAsia="zh-CN"/>
        </w:rPr>
        <w:t>）</w:t>
      </w:r>
      <w:r>
        <w:rPr>
          <w:rFonts w:ascii="宋体" w:hAnsi="宋体"/>
          <w:color w:val="auto"/>
          <w:szCs w:val="21"/>
          <w:highlight w:val="none"/>
        </w:rPr>
        <w:t>租金金额的</w:t>
      </w:r>
      <w:r>
        <w:rPr>
          <w:rFonts w:hint="eastAsia" w:ascii="宋体" w:hAnsi="宋体"/>
          <w:color w:val="auto"/>
          <w:szCs w:val="21"/>
          <w:highlight w:val="none"/>
          <w:u w:val="single"/>
          <w:lang w:val="en-US" w:eastAsia="zh-CN"/>
        </w:rPr>
        <w:t xml:space="preserve">    </w:t>
      </w:r>
      <w:r>
        <w:rPr>
          <w:rFonts w:ascii="宋体" w:hAnsi="宋体"/>
          <w:color w:val="auto"/>
          <w:szCs w:val="21"/>
          <w:highlight w:val="none"/>
          <w:u w:val="single"/>
        </w:rPr>
        <w:t>%</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租金指</w:t>
      </w:r>
      <w:r>
        <w:rPr>
          <w:rFonts w:ascii="宋体" w:hAnsi="宋体"/>
          <w:color w:val="auto"/>
          <w:szCs w:val="21"/>
          <w:highlight w:val="none"/>
        </w:rPr>
        <w:t>除物业管理费</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水电费</w:t>
      </w:r>
      <w:r>
        <w:rPr>
          <w:rFonts w:ascii="宋体" w:hAnsi="宋体"/>
          <w:color w:val="auto"/>
          <w:szCs w:val="21"/>
          <w:highlight w:val="none"/>
        </w:rPr>
        <w:t>及空调费以外应付的</w:t>
      </w:r>
      <w:r>
        <w:rPr>
          <w:rFonts w:hint="eastAsia" w:ascii="宋体" w:hAnsi="宋体"/>
          <w:color w:val="auto"/>
          <w:szCs w:val="21"/>
          <w:highlight w:val="none"/>
        </w:rPr>
        <w:t>含税</w:t>
      </w:r>
      <w:r>
        <w:rPr>
          <w:rFonts w:ascii="宋体" w:hAnsi="宋体"/>
          <w:color w:val="auto"/>
          <w:szCs w:val="21"/>
          <w:highlight w:val="none"/>
        </w:rPr>
        <w:t>租金</w:t>
      </w:r>
      <w:r>
        <w:rPr>
          <w:rFonts w:hint="eastAsia" w:ascii="宋体" w:hAnsi="宋体"/>
          <w:color w:val="auto"/>
          <w:szCs w:val="21"/>
          <w:highlight w:val="none"/>
          <w:lang w:eastAsia="zh-CN"/>
        </w:rPr>
        <w:t>。</w:t>
      </w:r>
    </w:p>
    <w:p w14:paraId="724BA9A5">
      <w:pPr>
        <w:widowControl/>
        <w:numPr>
          <w:ilvl w:val="0"/>
          <w:numId w:val="6"/>
        </w:numPr>
        <w:tabs>
          <w:tab w:val="left" w:pos="743"/>
        </w:tabs>
        <w:spacing w:before="93" w:beforeLines="30" w:line="360" w:lineRule="auto"/>
        <w:ind w:left="743" w:hanging="425"/>
        <w:rPr>
          <w:rFonts w:hint="eastAsia" w:ascii="宋体" w:hAnsi="宋体"/>
          <w:color w:val="auto"/>
          <w:szCs w:val="21"/>
          <w:highlight w:val="none"/>
        </w:rPr>
      </w:pPr>
      <w:r>
        <w:rPr>
          <w:rFonts w:hint="eastAsia" w:ascii="宋体" w:hAnsi="宋体"/>
          <w:b/>
          <w:color w:val="auto"/>
          <w:szCs w:val="21"/>
          <w:highlight w:val="none"/>
        </w:rPr>
        <w:t>首席代理介绍成交租户：</w:t>
      </w:r>
      <w:r>
        <w:rPr>
          <w:rFonts w:hint="eastAsia" w:ascii="宋体" w:hAnsi="宋体"/>
          <w:color w:val="auto"/>
          <w:szCs w:val="21"/>
          <w:highlight w:val="none"/>
        </w:rPr>
        <w:t>甲方与租户签署租赁合同并收取押金和</w:t>
      </w:r>
      <w:r>
        <w:rPr>
          <w:rFonts w:hint="eastAsia" w:ascii="宋体" w:hAnsi="宋体"/>
          <w:color w:val="auto"/>
          <w:szCs w:val="21"/>
          <w:highlight w:val="none"/>
          <w:lang w:val="en-US" w:eastAsia="zh-CN"/>
        </w:rPr>
        <w:t>首年首月</w:t>
      </w:r>
      <w:r>
        <w:rPr>
          <w:rFonts w:hint="eastAsia" w:ascii="宋体" w:hAnsi="宋体"/>
          <w:color w:val="auto"/>
          <w:szCs w:val="21"/>
          <w:highlight w:val="none"/>
        </w:rPr>
        <w:t>（如有免租期，则为首年免租期后首月）租金后，甲方向首席代理支付基</w:t>
      </w:r>
      <w:r>
        <w:rPr>
          <w:rFonts w:hint="eastAsia" w:ascii="宋体" w:hAnsi="宋体"/>
          <w:color w:val="auto"/>
          <w:szCs w:val="21"/>
          <w:highlight w:val="none"/>
          <w:lang w:val="en-US" w:eastAsia="zh-CN"/>
        </w:rPr>
        <w:t>础</w:t>
      </w:r>
      <w:r>
        <w:rPr>
          <w:rFonts w:hint="eastAsia" w:ascii="宋体" w:hAnsi="宋体"/>
          <w:color w:val="auto"/>
          <w:szCs w:val="21"/>
          <w:highlight w:val="none"/>
        </w:rPr>
        <w:t>代理佣金；</w:t>
      </w:r>
    </w:p>
    <w:p w14:paraId="26E3B207">
      <w:pPr>
        <w:widowControl/>
        <w:numPr>
          <w:ilvl w:val="0"/>
          <w:numId w:val="6"/>
        </w:numPr>
        <w:tabs>
          <w:tab w:val="left" w:pos="743"/>
        </w:tabs>
        <w:spacing w:before="93" w:beforeLines="30" w:line="360" w:lineRule="auto"/>
        <w:ind w:left="743" w:hanging="425"/>
        <w:rPr>
          <w:rFonts w:hint="eastAsia" w:ascii="宋体" w:hAnsi="宋体"/>
          <w:color w:val="auto"/>
          <w:szCs w:val="21"/>
          <w:highlight w:val="none"/>
        </w:rPr>
      </w:pPr>
      <w:r>
        <w:rPr>
          <w:rFonts w:hint="eastAsia" w:ascii="宋体" w:hAnsi="宋体"/>
          <w:b/>
          <w:color w:val="auto"/>
          <w:szCs w:val="21"/>
          <w:highlight w:val="none"/>
        </w:rPr>
        <w:t>一般代理公司介绍成交租户：</w:t>
      </w:r>
      <w:r>
        <w:rPr>
          <w:rFonts w:hint="eastAsia" w:ascii="宋体" w:hAnsi="宋体"/>
          <w:color w:val="auto"/>
          <w:szCs w:val="21"/>
          <w:highlight w:val="none"/>
        </w:rPr>
        <w:t>甲方与租户签署租赁合同并收取押金和首年首月（如有免租期，则为首年免租期后首月）租金后，甲方向首席代理支付基</w:t>
      </w:r>
      <w:r>
        <w:rPr>
          <w:rFonts w:hint="eastAsia" w:ascii="宋体" w:hAnsi="宋体"/>
          <w:color w:val="auto"/>
          <w:szCs w:val="21"/>
          <w:highlight w:val="none"/>
          <w:lang w:val="en-US" w:eastAsia="zh-CN"/>
        </w:rPr>
        <w:t>础</w:t>
      </w:r>
      <w:r>
        <w:rPr>
          <w:rFonts w:hint="eastAsia" w:ascii="宋体" w:hAnsi="宋体"/>
          <w:color w:val="auto"/>
          <w:szCs w:val="21"/>
          <w:highlight w:val="none"/>
        </w:rPr>
        <w:t>代理佣金，再由首席代理将基</w:t>
      </w:r>
      <w:r>
        <w:rPr>
          <w:rFonts w:hint="eastAsia" w:ascii="宋体" w:hAnsi="宋体"/>
          <w:color w:val="auto"/>
          <w:szCs w:val="21"/>
          <w:highlight w:val="none"/>
          <w:lang w:val="en-US" w:eastAsia="zh-CN"/>
        </w:rPr>
        <w:t>础</w:t>
      </w:r>
      <w:r>
        <w:rPr>
          <w:rFonts w:hint="eastAsia" w:ascii="宋体" w:hAnsi="宋体"/>
          <w:color w:val="auto"/>
          <w:szCs w:val="21"/>
          <w:highlight w:val="none"/>
        </w:rPr>
        <w:t>代理佣金向一般代理公司足额（含增值税等税费）支付；</w:t>
      </w:r>
    </w:p>
    <w:p w14:paraId="49AA1C52">
      <w:pPr>
        <w:autoSpaceDE w:val="0"/>
        <w:autoSpaceDN w:val="0"/>
        <w:adjustRightInd w:val="0"/>
        <w:snapToGrid w:val="0"/>
        <w:spacing w:before="93" w:beforeLines="30" w:line="360" w:lineRule="auto"/>
        <w:ind w:left="-4" w:leftChars="-2" w:firstLine="433" w:firstLineChars="206"/>
        <w:jc w:val="left"/>
        <w:rPr>
          <w:rFonts w:hint="eastAsia" w:ascii="宋体" w:hAnsi="宋体"/>
          <w:b/>
          <w:color w:val="auto"/>
          <w:szCs w:val="21"/>
          <w:highlight w:val="none"/>
        </w:rPr>
      </w:pPr>
      <w:r>
        <w:rPr>
          <w:rFonts w:hint="eastAsia" w:ascii="宋体" w:hAnsi="宋体"/>
          <w:b/>
          <w:color w:val="auto"/>
          <w:szCs w:val="21"/>
          <w:highlight w:val="none"/>
        </w:rPr>
        <w:t>6.2.2统筹管理佣金</w:t>
      </w:r>
    </w:p>
    <w:p w14:paraId="05E74053">
      <w:pPr>
        <w:widowControl/>
        <w:numPr>
          <w:ilvl w:val="0"/>
          <w:numId w:val="0"/>
        </w:numPr>
        <w:tabs>
          <w:tab w:val="left" w:pos="743"/>
        </w:tabs>
        <w:spacing w:before="93" w:beforeLines="30" w:line="360" w:lineRule="auto"/>
        <w:ind w:left="318" w:firstLine="420" w:firstLineChars="200"/>
        <w:rPr>
          <w:rFonts w:hint="default" w:ascii="宋体" w:hAnsi="宋体"/>
          <w:color w:val="auto"/>
          <w:sz w:val="21"/>
          <w:szCs w:val="21"/>
          <w:highlight w:val="none"/>
        </w:rPr>
      </w:pPr>
      <w:r>
        <w:rPr>
          <w:rFonts w:hint="default" w:ascii="宋体" w:hAnsi="宋体"/>
          <w:color w:val="auto"/>
          <w:sz w:val="21"/>
          <w:szCs w:val="21"/>
          <w:highlight w:val="none"/>
        </w:rPr>
        <w:t>首席租赁代理公司负责</w:t>
      </w:r>
      <w:r>
        <w:rPr>
          <w:rFonts w:hint="eastAsia" w:ascii="宋体" w:hAnsi="宋体"/>
          <w:color w:val="auto"/>
          <w:szCs w:val="21"/>
          <w:highlight w:val="none"/>
        </w:rPr>
        <w:t>根据甲方要求，完成除甲方自行统筹的一般代理人(如有)外的其他一般代理公司的</w:t>
      </w:r>
      <w:r>
        <w:rPr>
          <w:rFonts w:hint="eastAsia" w:ascii="宋体" w:hAnsi="宋体"/>
          <w:color w:val="auto"/>
          <w:szCs w:val="21"/>
          <w:highlight w:val="none"/>
          <w:lang w:val="en-US" w:eastAsia="zh-CN"/>
        </w:rPr>
        <w:t>佣金</w:t>
      </w:r>
      <w:r>
        <w:rPr>
          <w:rFonts w:hint="eastAsia" w:ascii="宋体" w:hAnsi="宋体"/>
          <w:color w:val="auto"/>
          <w:szCs w:val="21"/>
          <w:highlight w:val="none"/>
        </w:rPr>
        <w:t>统筹管理</w:t>
      </w:r>
      <w:r>
        <w:rPr>
          <w:rFonts w:hint="eastAsia" w:ascii="宋体" w:hAnsi="宋体"/>
          <w:color w:val="auto"/>
          <w:szCs w:val="21"/>
          <w:highlight w:val="none"/>
          <w:lang w:val="en-US" w:eastAsia="zh-CN"/>
        </w:rPr>
        <w:t>与发放</w:t>
      </w:r>
      <w:r>
        <w:rPr>
          <w:rFonts w:hint="eastAsia" w:ascii="宋体" w:hAnsi="宋体"/>
          <w:color w:val="auto"/>
          <w:szCs w:val="21"/>
          <w:highlight w:val="none"/>
        </w:rPr>
        <w:t>工作。</w:t>
      </w:r>
    </w:p>
    <w:p w14:paraId="202FAA79">
      <w:pPr>
        <w:widowControl/>
        <w:numPr>
          <w:ilvl w:val="0"/>
          <w:numId w:val="7"/>
        </w:numPr>
        <w:tabs>
          <w:tab w:val="left" w:pos="743"/>
        </w:tabs>
        <w:spacing w:before="93" w:beforeLines="30" w:line="360" w:lineRule="auto"/>
        <w:rPr>
          <w:rFonts w:hint="eastAsia" w:ascii="宋体" w:hAnsi="宋体"/>
          <w:b/>
          <w:color w:val="auto"/>
          <w:szCs w:val="21"/>
          <w:highlight w:val="none"/>
        </w:rPr>
      </w:pPr>
      <w:r>
        <w:rPr>
          <w:rFonts w:hint="eastAsia" w:ascii="宋体" w:hAnsi="宋体"/>
          <w:b/>
          <w:color w:val="auto"/>
          <w:szCs w:val="21"/>
          <w:highlight w:val="none"/>
        </w:rPr>
        <w:t>统筹管理佣金金额：包括基本统筹管理佣金和进度统筹管理佣金</w:t>
      </w:r>
    </w:p>
    <w:p w14:paraId="2B335A87">
      <w:pPr>
        <w:widowControl/>
        <w:tabs>
          <w:tab w:val="left" w:pos="743"/>
        </w:tabs>
        <w:spacing w:before="93" w:beforeLines="30" w:line="360" w:lineRule="auto"/>
        <w:ind w:left="743"/>
        <w:rPr>
          <w:rFonts w:hint="eastAsia" w:ascii="宋体" w:hAnsi="宋体"/>
          <w:iCs/>
          <w:color w:val="auto"/>
          <w:szCs w:val="21"/>
          <w:highlight w:val="none"/>
        </w:rPr>
      </w:pPr>
      <w:r>
        <w:rPr>
          <w:rFonts w:hint="eastAsia" w:ascii="宋体" w:hAnsi="宋体"/>
          <w:b/>
          <w:color w:val="auto"/>
          <w:szCs w:val="21"/>
          <w:highlight w:val="none"/>
        </w:rPr>
        <w:t>基本统筹管理佣金</w:t>
      </w:r>
      <w:r>
        <w:rPr>
          <w:rFonts w:hint="eastAsia" w:ascii="宋体" w:hAnsi="宋体"/>
          <w:color w:val="auto"/>
          <w:szCs w:val="21"/>
          <w:highlight w:val="none"/>
        </w:rPr>
        <w:t>为甲方</w:t>
      </w:r>
      <w:r>
        <w:rPr>
          <w:rFonts w:ascii="宋体" w:hAnsi="宋体"/>
          <w:color w:val="auto"/>
          <w:szCs w:val="21"/>
          <w:highlight w:val="none"/>
        </w:rPr>
        <w:t>与成交租户最终签署的租赁合同中规定的首年首月</w:t>
      </w:r>
      <w:r>
        <w:rPr>
          <w:rFonts w:hint="eastAsia" w:ascii="宋体" w:hAnsi="宋体"/>
          <w:color w:val="auto"/>
          <w:szCs w:val="21"/>
          <w:highlight w:val="none"/>
        </w:rPr>
        <w:t>（如有免租期，则为首年免租期后首月）</w:t>
      </w:r>
      <w:r>
        <w:rPr>
          <w:rFonts w:ascii="宋体" w:hAnsi="宋体"/>
          <w:color w:val="auto"/>
          <w:szCs w:val="21"/>
          <w:highlight w:val="none"/>
        </w:rPr>
        <w:t>租金金额的</w:t>
      </w:r>
      <w:r>
        <w:rPr>
          <w:rFonts w:hint="eastAsia" w:ascii="宋体" w:hAnsi="宋体"/>
          <w:b/>
          <w:i/>
          <w:color w:val="auto"/>
          <w:szCs w:val="21"/>
          <w:highlight w:val="none"/>
          <w:u w:val="single"/>
        </w:rPr>
        <w:t xml:space="preserve">  </w:t>
      </w:r>
      <w:r>
        <w:rPr>
          <w:rFonts w:hint="eastAsia" w:ascii="宋体" w:hAnsi="宋体"/>
          <w:b/>
          <w:i/>
          <w:color w:val="auto"/>
          <w:szCs w:val="21"/>
          <w:highlight w:val="none"/>
          <w:u w:val="single"/>
          <w:lang w:val="en-US" w:eastAsia="zh-CN"/>
        </w:rPr>
        <w:t xml:space="preserve">  </w:t>
      </w:r>
      <w:r>
        <w:rPr>
          <w:rFonts w:ascii="宋体" w:hAnsi="宋体"/>
          <w:b/>
          <w:i/>
          <w:color w:val="auto"/>
          <w:szCs w:val="21"/>
          <w:highlight w:val="none"/>
          <w:u w:val="single"/>
        </w:rPr>
        <w:t xml:space="preserve"> %</w:t>
      </w:r>
      <w:r>
        <w:rPr>
          <w:rFonts w:hint="eastAsia" w:ascii="宋体" w:hAnsi="宋体"/>
          <w:b/>
          <w:i/>
          <w:color w:val="auto"/>
          <w:szCs w:val="21"/>
          <w:highlight w:val="none"/>
          <w:u w:val="single"/>
          <w:lang w:eastAsia="zh-CN"/>
        </w:rPr>
        <w:t>。</w:t>
      </w:r>
      <w:r>
        <w:rPr>
          <w:rFonts w:hint="eastAsia" w:ascii="宋体" w:hAnsi="宋体"/>
          <w:b w:val="0"/>
          <w:bCs/>
          <w:i w:val="0"/>
          <w:iCs/>
          <w:color w:val="auto"/>
          <w:szCs w:val="21"/>
          <w:highlight w:val="none"/>
          <w:u w:val="single"/>
        </w:rPr>
        <w:t>租金指除物业管理费、水电费及空调费以外应付的含税租金。</w:t>
      </w:r>
    </w:p>
    <w:p w14:paraId="1DA2BC91">
      <w:pPr>
        <w:widowControl/>
        <w:tabs>
          <w:tab w:val="left" w:pos="743"/>
        </w:tabs>
        <w:spacing w:before="93" w:beforeLines="30" w:line="360" w:lineRule="auto"/>
        <w:ind w:left="743"/>
        <w:rPr>
          <w:rFonts w:hint="eastAsia" w:ascii="宋体" w:hAnsi="宋体" w:eastAsia="等线"/>
          <w:b/>
          <w:color w:val="auto"/>
          <w:szCs w:val="21"/>
          <w:highlight w:val="none"/>
          <w:lang w:eastAsia="zh-CN"/>
        </w:rPr>
      </w:pPr>
      <w:r>
        <w:rPr>
          <w:rFonts w:hint="eastAsia" w:ascii="宋体" w:hAnsi="宋体"/>
          <w:b/>
          <w:color w:val="auto"/>
          <w:szCs w:val="21"/>
          <w:highlight w:val="none"/>
        </w:rPr>
        <w:t>进度统筹管理佣金</w:t>
      </w:r>
      <w:r>
        <w:rPr>
          <w:rFonts w:hint="eastAsia" w:ascii="宋体" w:hAnsi="宋体"/>
          <w:color w:val="auto"/>
          <w:szCs w:val="21"/>
          <w:highlight w:val="none"/>
        </w:rPr>
        <w:t>为按进度节点完成的出租率进行的奖励</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由甲乙双方在合同履行期间另行协商。</w:t>
      </w:r>
    </w:p>
    <w:p w14:paraId="465EA38B">
      <w:pPr>
        <w:widowControl/>
        <w:numPr>
          <w:ilvl w:val="0"/>
          <w:numId w:val="7"/>
        </w:numPr>
        <w:tabs>
          <w:tab w:val="left" w:pos="743"/>
        </w:tabs>
        <w:spacing w:before="93" w:beforeLines="30" w:line="360" w:lineRule="auto"/>
        <w:ind w:left="709" w:hanging="269"/>
        <w:rPr>
          <w:rFonts w:hint="eastAsia" w:ascii="宋体" w:hAnsi="宋体"/>
          <w:color w:val="auto"/>
          <w:szCs w:val="21"/>
          <w:highlight w:val="none"/>
        </w:rPr>
      </w:pPr>
      <w:r>
        <w:rPr>
          <w:rFonts w:hint="eastAsia" w:ascii="宋体" w:hAnsi="宋体"/>
          <w:b/>
          <w:color w:val="auto"/>
          <w:szCs w:val="21"/>
          <w:highlight w:val="none"/>
        </w:rPr>
        <w:t>首席租赁代理公司负责统筹的一般代理公司推荐成交</w:t>
      </w:r>
      <w:r>
        <w:rPr>
          <w:rFonts w:ascii="宋体" w:hAnsi="宋体"/>
          <w:b/>
          <w:color w:val="auto"/>
          <w:szCs w:val="21"/>
          <w:highlight w:val="none"/>
        </w:rPr>
        <w:t>租户：</w:t>
      </w:r>
      <w:r>
        <w:rPr>
          <w:rFonts w:hint="eastAsia" w:ascii="宋体" w:hAnsi="宋体"/>
          <w:color w:val="auto"/>
          <w:szCs w:val="21"/>
          <w:highlight w:val="none"/>
        </w:rPr>
        <w:t>甲方与租户签署租赁合同并收取押金和首年首月（如有免租期，则为首年免租期后首月）租金后，甲方向首席代理支付</w:t>
      </w:r>
      <w:r>
        <w:rPr>
          <w:rFonts w:ascii="宋体" w:hAnsi="宋体"/>
          <w:color w:val="auto"/>
          <w:szCs w:val="21"/>
          <w:highlight w:val="none"/>
        </w:rPr>
        <w:t>统筹管理佣金；</w:t>
      </w:r>
    </w:p>
    <w:p w14:paraId="1CFE77C6">
      <w:pPr>
        <w:autoSpaceDE w:val="0"/>
        <w:autoSpaceDN w:val="0"/>
        <w:adjustRightInd w:val="0"/>
        <w:snapToGrid w:val="0"/>
        <w:spacing w:before="93" w:beforeLines="30" w:line="360" w:lineRule="auto"/>
        <w:ind w:left="1" w:firstLine="494" w:firstLineChars="235"/>
        <w:jc w:val="left"/>
        <w:rPr>
          <w:rFonts w:hint="eastAsia" w:ascii="宋体" w:hAnsi="宋体"/>
          <w:b/>
          <w:color w:val="auto"/>
          <w:szCs w:val="21"/>
          <w:highlight w:val="none"/>
        </w:rPr>
      </w:pPr>
      <w:r>
        <w:rPr>
          <w:rFonts w:hint="eastAsia" w:ascii="宋体" w:hAnsi="宋体"/>
          <w:b/>
          <w:color w:val="auto"/>
          <w:szCs w:val="21"/>
          <w:highlight w:val="none"/>
        </w:rPr>
        <w:t>6.2.3激励佣金</w:t>
      </w:r>
    </w:p>
    <w:p w14:paraId="71C53025">
      <w:pPr>
        <w:widowControl/>
        <w:numPr>
          <w:ilvl w:val="0"/>
          <w:numId w:val="8"/>
        </w:numPr>
        <w:tabs>
          <w:tab w:val="left" w:pos="426"/>
        </w:tabs>
        <w:spacing w:before="93" w:beforeLines="30" w:line="360" w:lineRule="auto"/>
        <w:ind w:left="743" w:hanging="317"/>
        <w:rPr>
          <w:rFonts w:hint="eastAsia" w:ascii="宋体" w:hAnsi="宋体"/>
          <w:color w:val="auto"/>
          <w:szCs w:val="21"/>
          <w:highlight w:val="none"/>
        </w:rPr>
      </w:pPr>
      <w:bookmarkStart w:id="473" w:name="_Toc459571390"/>
      <w:r>
        <w:rPr>
          <w:rFonts w:hint="eastAsia" w:ascii="宋体" w:hAnsi="宋体"/>
          <w:b/>
          <w:color w:val="auto"/>
          <w:szCs w:val="21"/>
          <w:highlight w:val="none"/>
        </w:rPr>
        <w:t>激励佣金金额：</w:t>
      </w:r>
      <w:r>
        <w:rPr>
          <w:rFonts w:hint="eastAsia" w:ascii="宋体" w:hAnsi="宋体"/>
          <w:b w:val="0"/>
          <w:bCs/>
          <w:color w:val="auto"/>
          <w:szCs w:val="21"/>
          <w:highlight w:val="none"/>
          <w:lang w:val="en-US" w:eastAsia="zh-CN"/>
        </w:rPr>
        <w:t>为优质客户激励佣金，</w:t>
      </w:r>
      <w:r>
        <w:rPr>
          <w:rFonts w:hint="eastAsia" w:ascii="宋体" w:hAnsi="宋体"/>
          <w:color w:val="auto"/>
          <w:szCs w:val="21"/>
          <w:highlight w:val="none"/>
          <w:lang w:val="en-US" w:eastAsia="zh-CN"/>
        </w:rPr>
        <w:t>由甲乙双方在合同履行期间另行协商。</w:t>
      </w:r>
    </w:p>
    <w:p w14:paraId="5862960C">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74" w:name="_Toc7460"/>
      <w:r>
        <w:rPr>
          <w:rFonts w:hint="eastAsia" w:ascii="宋体" w:hAnsi="宋体" w:eastAsia="宋体"/>
          <w:color w:val="auto"/>
          <w:sz w:val="24"/>
          <w:szCs w:val="24"/>
          <w:highlight w:val="none"/>
        </w:rPr>
        <w:t>租金定价</w:t>
      </w:r>
      <w:bookmarkEnd w:id="473"/>
      <w:bookmarkEnd w:id="474"/>
    </w:p>
    <w:p w14:paraId="60DCD4FA">
      <w:pPr>
        <w:numPr>
          <w:ilvl w:val="1"/>
          <w:numId w:val="9"/>
        </w:numPr>
        <w:autoSpaceDE w:val="0"/>
        <w:autoSpaceDN w:val="0"/>
        <w:adjustRightInd w:val="0"/>
        <w:snapToGrid w:val="0"/>
        <w:spacing w:before="93" w:beforeLines="30" w:line="360" w:lineRule="auto"/>
        <w:ind w:hanging="496"/>
        <w:jc w:val="left"/>
        <w:rPr>
          <w:rFonts w:hint="eastAsia" w:ascii="宋体" w:hAnsi="宋体"/>
          <w:color w:val="auto"/>
          <w:highlight w:val="none"/>
        </w:rPr>
      </w:pPr>
      <w:r>
        <w:rPr>
          <w:rFonts w:ascii="宋体" w:hAnsi="宋体"/>
          <w:color w:val="auto"/>
          <w:highlight w:val="none"/>
        </w:rPr>
        <w:t>乙方</w:t>
      </w:r>
      <w:r>
        <w:rPr>
          <w:rFonts w:hint="eastAsia" w:ascii="宋体" w:hAnsi="宋体"/>
          <w:color w:val="auto"/>
          <w:highlight w:val="none"/>
        </w:rPr>
        <w:t>需根据广州市琶洲片区写字楼租金水平及写字楼市场发展趋势，制定本项目写字楼租赁价格表提供</w:t>
      </w:r>
      <w:r>
        <w:rPr>
          <w:rFonts w:hint="eastAsia" w:ascii="宋体" w:hAnsi="宋体"/>
          <w:color w:val="auto"/>
          <w:highlight w:val="none"/>
          <w:lang w:val="en-US" w:eastAsia="zh-CN"/>
        </w:rPr>
        <w:t>给</w:t>
      </w:r>
      <w:r>
        <w:rPr>
          <w:rFonts w:hint="eastAsia" w:ascii="宋体" w:hAnsi="宋体"/>
          <w:color w:val="auto"/>
          <w:highlight w:val="none"/>
        </w:rPr>
        <w:t>甲方</w:t>
      </w:r>
      <w:r>
        <w:rPr>
          <w:rFonts w:hint="eastAsia" w:ascii="宋体" w:hAnsi="宋体"/>
          <w:color w:val="auto"/>
          <w:highlight w:val="none"/>
          <w:lang w:val="en-US" w:eastAsia="zh-CN"/>
        </w:rPr>
        <w:t>决策参考</w:t>
      </w:r>
      <w:r>
        <w:rPr>
          <w:rFonts w:hint="eastAsia" w:ascii="宋体" w:hAnsi="宋体"/>
          <w:color w:val="auto"/>
          <w:highlight w:val="none"/>
        </w:rPr>
        <w:t>。</w:t>
      </w:r>
    </w:p>
    <w:p w14:paraId="02536C31">
      <w:pPr>
        <w:numPr>
          <w:ilvl w:val="1"/>
          <w:numId w:val="9"/>
        </w:numPr>
        <w:autoSpaceDE w:val="0"/>
        <w:autoSpaceDN w:val="0"/>
        <w:adjustRightInd w:val="0"/>
        <w:snapToGrid w:val="0"/>
        <w:spacing w:before="93" w:beforeLines="30" w:line="360" w:lineRule="auto"/>
        <w:ind w:hanging="496"/>
        <w:jc w:val="left"/>
        <w:rPr>
          <w:rFonts w:hint="eastAsia" w:ascii="宋体" w:hAnsi="宋体"/>
          <w:color w:val="auto"/>
          <w:highlight w:val="none"/>
        </w:rPr>
      </w:pPr>
      <w:r>
        <w:rPr>
          <w:rFonts w:hint="eastAsia" w:ascii="宋体" w:hAnsi="宋体"/>
          <w:color w:val="auto"/>
          <w:highlight w:val="none"/>
        </w:rPr>
        <w:t>甲方可委托专业第三方评估机构对本项目写字楼的租赁价格进行评估，定期或市场变化较快时要求第三方评估机构提供“广州租赁市场调研报告”及“项目租金定价评估报告”。甲方有权根据评估结果自行确定租赁价格；</w:t>
      </w:r>
      <w:r>
        <w:rPr>
          <w:rFonts w:ascii="宋体" w:hAnsi="宋体"/>
          <w:color w:val="auto"/>
          <w:highlight w:val="none"/>
        </w:rPr>
        <w:t>乙方</w:t>
      </w:r>
      <w:r>
        <w:rPr>
          <w:rFonts w:hint="eastAsia" w:ascii="宋体" w:hAnsi="宋体"/>
          <w:color w:val="auto"/>
          <w:highlight w:val="none"/>
        </w:rPr>
        <w:t>必须根据甲方确定、批准后的租赁价格予以执行。</w:t>
      </w:r>
    </w:p>
    <w:p w14:paraId="4F24AA91">
      <w:pPr>
        <w:numPr>
          <w:ilvl w:val="1"/>
          <w:numId w:val="9"/>
        </w:numPr>
        <w:autoSpaceDE w:val="0"/>
        <w:autoSpaceDN w:val="0"/>
        <w:adjustRightInd w:val="0"/>
        <w:snapToGrid w:val="0"/>
        <w:spacing w:before="93" w:beforeLines="30" w:line="360" w:lineRule="auto"/>
        <w:ind w:hanging="496"/>
        <w:jc w:val="left"/>
        <w:rPr>
          <w:rFonts w:hint="eastAsia" w:ascii="宋体" w:hAnsi="宋体"/>
          <w:color w:val="auto"/>
          <w:szCs w:val="21"/>
          <w:highlight w:val="none"/>
        </w:rPr>
      </w:pPr>
      <w:r>
        <w:rPr>
          <w:rFonts w:hint="eastAsia" w:ascii="宋体" w:hAnsi="宋体"/>
          <w:color w:val="auto"/>
          <w:szCs w:val="21"/>
          <w:highlight w:val="none"/>
        </w:rPr>
        <w:t>未经甲方书面同意，</w:t>
      </w:r>
      <w:r>
        <w:rPr>
          <w:rFonts w:ascii="宋体" w:hAnsi="宋体"/>
          <w:color w:val="auto"/>
          <w:highlight w:val="none"/>
        </w:rPr>
        <w:t>乙方</w:t>
      </w:r>
      <w:r>
        <w:rPr>
          <w:rFonts w:hint="eastAsia" w:ascii="宋体" w:hAnsi="宋体"/>
          <w:color w:val="auto"/>
          <w:szCs w:val="21"/>
          <w:highlight w:val="none"/>
        </w:rPr>
        <w:t>不得违背或擅自调整甲方已批准租赁价格进行租赁。若确需调整时，必须向甲方提出书面申请，待得到甲方正式批准后方可实施。</w:t>
      </w:r>
    </w:p>
    <w:p w14:paraId="1FB0FFFE">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75" w:name="_Toc21052"/>
      <w:bookmarkStart w:id="476" w:name="_Toc459571391"/>
      <w:r>
        <w:rPr>
          <w:rFonts w:hint="eastAsia" w:ascii="宋体" w:hAnsi="宋体" w:eastAsia="宋体"/>
          <w:color w:val="auto"/>
          <w:sz w:val="24"/>
          <w:szCs w:val="24"/>
          <w:highlight w:val="none"/>
        </w:rPr>
        <w:t>其它方面</w:t>
      </w:r>
      <w:bookmarkEnd w:id="475"/>
      <w:bookmarkEnd w:id="476"/>
    </w:p>
    <w:p w14:paraId="326E0172">
      <w:pPr>
        <w:numPr>
          <w:ilvl w:val="1"/>
          <w:numId w:val="10"/>
        </w:numPr>
        <w:autoSpaceDE w:val="0"/>
        <w:autoSpaceDN w:val="0"/>
        <w:adjustRightInd w:val="0"/>
        <w:snapToGrid w:val="0"/>
        <w:spacing w:before="93" w:beforeLines="30" w:line="360" w:lineRule="auto"/>
        <w:ind w:hanging="496"/>
        <w:jc w:val="left"/>
        <w:rPr>
          <w:rFonts w:hint="eastAsia" w:ascii="宋体" w:hAnsi="宋体"/>
          <w:color w:val="auto"/>
          <w:szCs w:val="21"/>
          <w:highlight w:val="none"/>
        </w:rPr>
      </w:pPr>
      <w:r>
        <w:rPr>
          <w:rFonts w:hint="eastAsia" w:ascii="宋体" w:hAnsi="宋体"/>
          <w:color w:val="auto"/>
          <w:szCs w:val="21"/>
          <w:highlight w:val="none"/>
        </w:rPr>
        <w:t>本项目与成交的租户签订合同中需明确未经甲方同意不得转租</w:t>
      </w:r>
      <w:r>
        <w:rPr>
          <w:rFonts w:ascii="宋体" w:hAnsi="宋体"/>
          <w:color w:val="auto"/>
          <w:szCs w:val="21"/>
          <w:highlight w:val="none"/>
        </w:rPr>
        <w:t>。</w:t>
      </w:r>
    </w:p>
    <w:p w14:paraId="2B0BBAA9">
      <w:pPr>
        <w:numPr>
          <w:ilvl w:val="1"/>
          <w:numId w:val="10"/>
        </w:numPr>
        <w:autoSpaceDE w:val="0"/>
        <w:autoSpaceDN w:val="0"/>
        <w:adjustRightInd w:val="0"/>
        <w:snapToGrid w:val="0"/>
        <w:spacing w:before="93" w:beforeLines="30" w:line="360" w:lineRule="auto"/>
        <w:ind w:hanging="496"/>
        <w:jc w:val="left"/>
        <w:rPr>
          <w:rFonts w:hint="eastAsia" w:ascii="宋体" w:hAnsi="宋体"/>
          <w:color w:val="auto"/>
          <w:szCs w:val="21"/>
          <w:highlight w:val="none"/>
        </w:rPr>
      </w:pPr>
      <w:r>
        <w:rPr>
          <w:rFonts w:hint="eastAsia" w:ascii="宋体" w:hAnsi="宋体"/>
          <w:color w:val="auto"/>
          <w:szCs w:val="21"/>
          <w:highlight w:val="none"/>
        </w:rPr>
        <w:t>租赁期限：</w:t>
      </w:r>
      <w:r>
        <w:rPr>
          <w:rFonts w:hint="eastAsia" w:ascii="宋体" w:hAnsi="宋体"/>
          <w:color w:val="auto"/>
          <w:highlight w:val="none"/>
        </w:rPr>
        <w:t>成交租户的租赁期限原则上不少于三年（含三年），如确有需要，经甲方书面同意后，可签订短于三年的租赁合同。</w:t>
      </w:r>
    </w:p>
    <w:p w14:paraId="3A8024E7">
      <w:pPr>
        <w:numPr>
          <w:ilvl w:val="1"/>
          <w:numId w:val="10"/>
        </w:numPr>
        <w:autoSpaceDE w:val="0"/>
        <w:autoSpaceDN w:val="0"/>
        <w:adjustRightInd w:val="0"/>
        <w:snapToGrid w:val="0"/>
        <w:spacing w:before="93" w:beforeLines="30" w:line="360" w:lineRule="auto"/>
        <w:ind w:hanging="496"/>
        <w:jc w:val="left"/>
        <w:rPr>
          <w:rFonts w:hint="eastAsia" w:ascii="宋体" w:hAnsi="宋体"/>
          <w:color w:val="auto"/>
          <w:szCs w:val="21"/>
          <w:highlight w:val="none"/>
        </w:rPr>
      </w:pPr>
      <w:r>
        <w:rPr>
          <w:rFonts w:hint="eastAsia" w:ascii="宋体" w:hAnsi="宋体"/>
          <w:color w:val="auto"/>
          <w:szCs w:val="21"/>
          <w:highlight w:val="none"/>
        </w:rPr>
        <w:t>免租期：按照行业惯例，向租户提供适当的免租期，用作装修及搬迁等事宜。免租期的时间长短由租赁面积大小、客户品质、销售策略等因素决定，由乙方提供免租期方案，由甲方审定</w:t>
      </w:r>
      <w:r>
        <w:rPr>
          <w:rFonts w:hint="eastAsia" w:ascii="宋体" w:hAnsi="宋体"/>
          <w:color w:val="auto"/>
          <w:szCs w:val="21"/>
          <w:highlight w:val="none"/>
          <w:lang w:val="en-US" w:eastAsia="zh-CN"/>
        </w:rPr>
        <w:t>后执行</w:t>
      </w:r>
      <w:r>
        <w:rPr>
          <w:rFonts w:hint="eastAsia" w:ascii="宋体" w:hAnsi="宋体"/>
          <w:color w:val="auto"/>
          <w:szCs w:val="21"/>
          <w:highlight w:val="none"/>
        </w:rPr>
        <w:t>。</w:t>
      </w:r>
    </w:p>
    <w:p w14:paraId="5EF131D2">
      <w:pPr>
        <w:numPr>
          <w:ilvl w:val="1"/>
          <w:numId w:val="10"/>
        </w:numPr>
        <w:autoSpaceDE w:val="0"/>
        <w:autoSpaceDN w:val="0"/>
        <w:adjustRightInd w:val="0"/>
        <w:snapToGrid w:val="0"/>
        <w:spacing w:before="93" w:beforeLines="30" w:line="360" w:lineRule="auto"/>
        <w:ind w:hanging="496"/>
        <w:jc w:val="left"/>
        <w:rPr>
          <w:rFonts w:hint="eastAsia" w:ascii="宋体" w:hAnsi="宋体"/>
          <w:color w:val="auto"/>
          <w:szCs w:val="21"/>
          <w:highlight w:val="none"/>
        </w:rPr>
      </w:pPr>
      <w:r>
        <w:rPr>
          <w:rFonts w:hint="eastAsia" w:ascii="宋体" w:hAnsi="宋体"/>
          <w:color w:val="auto"/>
          <w:szCs w:val="21"/>
          <w:highlight w:val="none"/>
        </w:rPr>
        <w:t>押金方面：按行规</w:t>
      </w:r>
      <w:r>
        <w:rPr>
          <w:rFonts w:hint="eastAsia" w:ascii="宋体" w:hAnsi="宋体"/>
          <w:color w:val="auto"/>
          <w:szCs w:val="21"/>
          <w:highlight w:val="none"/>
          <w:lang w:val="en-US" w:eastAsia="zh-CN"/>
        </w:rPr>
        <w:t>执行</w:t>
      </w:r>
      <w:r>
        <w:rPr>
          <w:rFonts w:hint="eastAsia" w:ascii="宋体" w:hAnsi="宋体"/>
          <w:color w:val="auto"/>
          <w:szCs w:val="21"/>
          <w:highlight w:val="none"/>
        </w:rPr>
        <w:t>，一般租户需向甲方交纳</w:t>
      </w:r>
      <w:r>
        <w:rPr>
          <w:rFonts w:ascii="宋体" w:hAnsi="宋体"/>
          <w:color w:val="auto"/>
          <w:szCs w:val="21"/>
          <w:highlight w:val="none"/>
        </w:rPr>
        <w:t>2</w:t>
      </w:r>
      <w:r>
        <w:rPr>
          <w:rFonts w:hint="eastAsia" w:ascii="宋体" w:hAnsi="宋体"/>
          <w:color w:val="auto"/>
          <w:szCs w:val="21"/>
          <w:highlight w:val="none"/>
        </w:rPr>
        <w:t>个月首年首月租金做为租赁保证金（押金），即“</w:t>
      </w:r>
      <w:r>
        <w:rPr>
          <w:rFonts w:ascii="宋体" w:hAnsi="宋体"/>
          <w:color w:val="auto"/>
          <w:szCs w:val="21"/>
          <w:highlight w:val="none"/>
        </w:rPr>
        <w:t>2</w:t>
      </w:r>
      <w:r>
        <w:rPr>
          <w:rFonts w:hint="eastAsia" w:ascii="宋体" w:hAnsi="宋体"/>
          <w:color w:val="auto"/>
          <w:szCs w:val="21"/>
          <w:highlight w:val="none"/>
        </w:rPr>
        <w:t>押</w:t>
      </w:r>
      <w:r>
        <w:rPr>
          <w:rFonts w:ascii="宋体" w:hAnsi="宋体"/>
          <w:color w:val="auto"/>
          <w:szCs w:val="21"/>
          <w:highlight w:val="none"/>
        </w:rPr>
        <w:t>1</w:t>
      </w:r>
      <w:r>
        <w:rPr>
          <w:rFonts w:hint="eastAsia" w:ascii="宋体" w:hAnsi="宋体"/>
          <w:color w:val="auto"/>
          <w:szCs w:val="21"/>
          <w:highlight w:val="none"/>
        </w:rPr>
        <w:t>租”方式。</w:t>
      </w:r>
    </w:p>
    <w:p w14:paraId="649FF558">
      <w:pPr>
        <w:numPr>
          <w:ilvl w:val="1"/>
          <w:numId w:val="10"/>
        </w:numPr>
        <w:autoSpaceDE w:val="0"/>
        <w:autoSpaceDN w:val="0"/>
        <w:adjustRightInd w:val="0"/>
        <w:snapToGrid w:val="0"/>
        <w:spacing w:before="93" w:beforeLines="30" w:line="360" w:lineRule="auto"/>
        <w:ind w:hanging="496"/>
        <w:jc w:val="left"/>
        <w:rPr>
          <w:rFonts w:hint="eastAsia" w:ascii="宋体" w:hAnsi="宋体"/>
          <w:color w:val="auto"/>
          <w:szCs w:val="21"/>
          <w:highlight w:val="none"/>
        </w:rPr>
      </w:pPr>
      <w:r>
        <w:rPr>
          <w:rFonts w:hint="eastAsia" w:ascii="宋体" w:hAnsi="宋体"/>
          <w:color w:val="auto"/>
          <w:szCs w:val="21"/>
          <w:highlight w:val="none"/>
        </w:rPr>
        <w:t>租赁工作准备：由乙方负责租赁物料准备，包括楼书（电子版）</w:t>
      </w:r>
      <w:r>
        <w:rPr>
          <w:rFonts w:hint="eastAsia" w:ascii="宋体" w:hAnsi="宋体"/>
          <w:color w:val="auto"/>
          <w:szCs w:val="21"/>
          <w:highlight w:val="none"/>
          <w:lang w:eastAsia="zh-CN"/>
        </w:rPr>
        <w:t>、</w:t>
      </w:r>
      <w:r>
        <w:rPr>
          <w:rFonts w:hint="eastAsia" w:ascii="宋体" w:hAnsi="宋体"/>
          <w:color w:val="auto"/>
          <w:szCs w:val="21"/>
          <w:highlight w:val="none"/>
        </w:rPr>
        <w:t>租赁合同</w:t>
      </w:r>
      <w:r>
        <w:rPr>
          <w:rFonts w:hint="eastAsia" w:ascii="宋体" w:hAnsi="宋体"/>
          <w:color w:val="auto"/>
          <w:szCs w:val="21"/>
          <w:highlight w:val="none"/>
          <w:lang w:eastAsia="zh-CN"/>
        </w:rPr>
        <w:t>、</w:t>
      </w:r>
      <w:r>
        <w:rPr>
          <w:rFonts w:hint="eastAsia" w:ascii="宋体" w:hAnsi="宋体"/>
          <w:color w:val="auto"/>
          <w:szCs w:val="21"/>
          <w:highlight w:val="none"/>
        </w:rPr>
        <w:t>客户确认书等。乙方负责向（除甲方自主统筹一般代理</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如有</w:t>
      </w:r>
      <w:r>
        <w:rPr>
          <w:rFonts w:hint="eastAsia" w:ascii="宋体" w:hAnsi="宋体"/>
          <w:color w:val="auto"/>
          <w:szCs w:val="21"/>
          <w:highlight w:val="none"/>
          <w:lang w:eastAsia="zh-CN"/>
        </w:rPr>
        <w:t>）</w:t>
      </w:r>
      <w:r>
        <w:rPr>
          <w:rFonts w:hint="eastAsia" w:ascii="宋体" w:hAnsi="宋体"/>
          <w:color w:val="auto"/>
          <w:szCs w:val="21"/>
          <w:highlight w:val="none"/>
        </w:rPr>
        <w:t>外的）一般代理公司宣讲推广项目，客户实地看楼了解项目，诚意客户谈判，客户签约，办理正式租赁合同，交楼办理入伙及装修手续，代理公司结佣等</w:t>
      </w:r>
      <w:r>
        <w:rPr>
          <w:rFonts w:hint="eastAsia" w:ascii="宋体" w:hAnsi="宋体"/>
          <w:color w:val="auto"/>
          <w:szCs w:val="21"/>
          <w:highlight w:val="none"/>
          <w:lang w:val="en-US" w:eastAsia="zh-CN"/>
        </w:rPr>
        <w:t>工作</w:t>
      </w:r>
      <w:r>
        <w:rPr>
          <w:rFonts w:hint="eastAsia" w:ascii="宋体" w:hAnsi="宋体"/>
          <w:color w:val="auto"/>
          <w:szCs w:val="21"/>
          <w:highlight w:val="none"/>
        </w:rPr>
        <w:t>。</w:t>
      </w:r>
    </w:p>
    <w:p w14:paraId="420D9A0F">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77" w:name="_Toc28542"/>
      <w:bookmarkStart w:id="478" w:name="_Toc459571392"/>
      <w:r>
        <w:rPr>
          <w:rFonts w:hint="eastAsia" w:ascii="宋体" w:hAnsi="宋体" w:eastAsia="宋体"/>
          <w:color w:val="auto"/>
          <w:sz w:val="24"/>
          <w:szCs w:val="24"/>
          <w:highlight w:val="none"/>
        </w:rPr>
        <w:t>付款方式</w:t>
      </w:r>
      <w:bookmarkEnd w:id="477"/>
      <w:bookmarkEnd w:id="478"/>
    </w:p>
    <w:p w14:paraId="2274527D">
      <w:pPr>
        <w:numPr>
          <w:ilvl w:val="1"/>
          <w:numId w:val="11"/>
        </w:numPr>
        <w:autoSpaceDE w:val="0"/>
        <w:autoSpaceDN w:val="0"/>
        <w:adjustRightInd w:val="0"/>
        <w:snapToGrid w:val="0"/>
        <w:spacing w:before="93" w:beforeLines="30" w:line="360" w:lineRule="auto"/>
        <w:ind w:hanging="486"/>
        <w:jc w:val="left"/>
        <w:rPr>
          <w:rFonts w:hint="eastAsia" w:ascii="宋体" w:hAnsi="宋体"/>
          <w:color w:val="auto"/>
          <w:szCs w:val="21"/>
          <w:highlight w:val="none"/>
        </w:rPr>
      </w:pPr>
      <w:r>
        <w:rPr>
          <w:rFonts w:hint="eastAsia" w:ascii="宋体" w:hAnsi="宋体"/>
          <w:color w:val="auto"/>
          <w:szCs w:val="21"/>
          <w:highlight w:val="none"/>
        </w:rPr>
        <w:t>营销</w:t>
      </w:r>
      <w:r>
        <w:rPr>
          <w:rFonts w:hint="eastAsia" w:ascii="宋体" w:hAnsi="宋体"/>
          <w:color w:val="auto"/>
          <w:szCs w:val="21"/>
          <w:highlight w:val="none"/>
          <w:lang w:val="en-US" w:eastAsia="zh-CN"/>
        </w:rPr>
        <w:t>策划</w:t>
      </w:r>
      <w:r>
        <w:rPr>
          <w:rFonts w:hint="eastAsia" w:ascii="宋体" w:hAnsi="宋体"/>
          <w:color w:val="auto"/>
          <w:szCs w:val="21"/>
          <w:highlight w:val="none"/>
        </w:rPr>
        <w:t>顾问费用和租赁代理</w:t>
      </w:r>
      <w:r>
        <w:rPr>
          <w:rFonts w:hint="eastAsia" w:ascii="宋体" w:hAnsi="宋体"/>
          <w:color w:val="auto"/>
          <w:szCs w:val="21"/>
          <w:highlight w:val="none"/>
          <w:lang w:val="en-US" w:eastAsia="zh-CN"/>
        </w:rPr>
        <w:t>费用</w:t>
      </w:r>
      <w:r>
        <w:rPr>
          <w:rFonts w:hint="eastAsia" w:ascii="宋体" w:hAnsi="宋体"/>
          <w:color w:val="auto"/>
          <w:szCs w:val="21"/>
          <w:highlight w:val="none"/>
        </w:rPr>
        <w:t>的结算及方式</w:t>
      </w:r>
    </w:p>
    <w:p w14:paraId="59956E10">
      <w:pPr>
        <w:widowControl/>
        <w:numPr>
          <w:ilvl w:val="0"/>
          <w:numId w:val="12"/>
        </w:numPr>
        <w:spacing w:before="93" w:beforeLines="30" w:line="360" w:lineRule="auto"/>
        <w:ind w:left="1276" w:hanging="425"/>
        <w:rPr>
          <w:rFonts w:hint="eastAsia" w:ascii="宋体" w:hAnsi="宋体"/>
          <w:color w:val="auto"/>
          <w:kern w:val="0"/>
          <w:szCs w:val="21"/>
          <w:highlight w:val="none"/>
        </w:rPr>
      </w:pPr>
      <w:r>
        <w:rPr>
          <w:rFonts w:hint="eastAsia" w:ascii="宋体" w:hAnsi="宋体" w:cs="宋体"/>
          <w:color w:val="auto"/>
          <w:kern w:val="0"/>
          <w:highlight w:val="none"/>
        </w:rPr>
        <w:t>乙方营销顾问费用</w:t>
      </w:r>
      <w:r>
        <w:rPr>
          <w:rFonts w:hint="eastAsia" w:ascii="宋体" w:hAnsi="宋体"/>
          <w:color w:val="auto"/>
          <w:highlight w:val="none"/>
        </w:rPr>
        <w:t>：</w:t>
      </w:r>
    </w:p>
    <w:p w14:paraId="1979B2FB">
      <w:pPr>
        <w:pStyle w:val="113"/>
        <w:widowControl/>
        <w:numPr>
          <w:ilvl w:val="0"/>
          <w:numId w:val="13"/>
        </w:numPr>
        <w:spacing w:before="93" w:beforeLines="30" w:after="0" w:line="360" w:lineRule="auto"/>
        <w:jc w:val="both"/>
        <w:rPr>
          <w:rFonts w:hint="eastAsia" w:ascii="宋体" w:hAnsi="宋体" w:eastAsia="宋体"/>
          <w:color w:val="auto"/>
          <w:kern w:val="0"/>
          <w:szCs w:val="21"/>
          <w:highlight w:val="none"/>
        </w:rPr>
      </w:pPr>
      <w:r>
        <w:rPr>
          <w:rFonts w:hint="eastAsia" w:ascii="宋体" w:hAnsi="宋体" w:eastAsia="宋体"/>
          <w:color w:val="auto"/>
          <w:kern w:val="0"/>
          <w:szCs w:val="21"/>
          <w:highlight w:val="none"/>
        </w:rPr>
        <w:t>启动费用：本合同签订</w:t>
      </w:r>
      <w:r>
        <w:rPr>
          <w:rFonts w:hint="eastAsia" w:ascii="宋体" w:hAnsi="宋体" w:eastAsia="宋体"/>
          <w:color w:val="auto"/>
          <w:kern w:val="0"/>
          <w:szCs w:val="21"/>
          <w:highlight w:val="none"/>
          <w:lang w:val="en-US" w:eastAsia="zh-CN"/>
        </w:rPr>
        <w:t>生效</w:t>
      </w:r>
      <w:r>
        <w:rPr>
          <w:rFonts w:hint="eastAsia" w:ascii="宋体" w:hAnsi="宋体" w:eastAsia="宋体"/>
          <w:color w:val="auto"/>
          <w:kern w:val="0"/>
          <w:szCs w:val="21"/>
          <w:highlight w:val="none"/>
        </w:rPr>
        <w:t>后，乙方</w:t>
      </w:r>
      <w:r>
        <w:rPr>
          <w:rFonts w:hint="eastAsia" w:ascii="宋体" w:hAnsi="宋体" w:eastAsia="宋体"/>
          <w:color w:val="auto"/>
          <w:kern w:val="0"/>
          <w:szCs w:val="21"/>
          <w:highlight w:val="none"/>
          <w:lang w:val="en-US" w:eastAsia="zh-CN"/>
        </w:rPr>
        <w:t>向甲方提交付款申请，并</w:t>
      </w:r>
      <w:r>
        <w:rPr>
          <w:rFonts w:hint="eastAsia" w:ascii="宋体" w:hAnsi="宋体" w:eastAsia="宋体"/>
          <w:color w:val="auto"/>
          <w:kern w:val="0"/>
          <w:szCs w:val="21"/>
          <w:highlight w:val="none"/>
        </w:rPr>
        <w:t>开具足额的符合法律规定的【增值税专用】发票，甲方收到由乙方出具的有效等额增值税专用发票起【</w:t>
      </w:r>
      <w:r>
        <w:rPr>
          <w:rFonts w:ascii="宋体" w:hAnsi="宋体" w:eastAsia="宋体"/>
          <w:color w:val="auto"/>
          <w:kern w:val="0"/>
          <w:szCs w:val="21"/>
          <w:highlight w:val="none"/>
        </w:rPr>
        <w:t>1</w:t>
      </w:r>
      <w:r>
        <w:rPr>
          <w:rFonts w:hint="eastAsia" w:ascii="宋体" w:hAnsi="宋体" w:eastAsia="宋体"/>
          <w:color w:val="auto"/>
          <w:kern w:val="0"/>
          <w:szCs w:val="21"/>
          <w:highlight w:val="none"/>
          <w:lang w:val="en-US" w:eastAsia="zh-CN"/>
        </w:rPr>
        <w:t>5</w:t>
      </w:r>
      <w:r>
        <w:rPr>
          <w:rFonts w:hint="eastAsia" w:ascii="宋体" w:hAnsi="宋体" w:eastAsia="宋体"/>
          <w:color w:val="auto"/>
          <w:kern w:val="0"/>
          <w:szCs w:val="21"/>
          <w:highlight w:val="none"/>
        </w:rPr>
        <w:t>】个工作日内，甲方向乙方支付</w:t>
      </w:r>
      <w:r>
        <w:rPr>
          <w:rFonts w:hint="eastAsia" w:ascii="宋体" w:hAnsi="宋体" w:eastAsia="宋体"/>
          <w:color w:val="auto"/>
          <w:kern w:val="0"/>
          <w:szCs w:val="21"/>
          <w:highlight w:val="none"/>
          <w:lang w:val="en-US" w:eastAsia="zh-CN"/>
        </w:rPr>
        <w:t>3个月</w:t>
      </w:r>
      <w:r>
        <w:rPr>
          <w:rFonts w:hint="eastAsia" w:ascii="宋体" w:hAnsi="宋体"/>
          <w:color w:val="auto"/>
          <w:szCs w:val="21"/>
          <w:highlight w:val="none"/>
        </w:rPr>
        <w:t>营</w:t>
      </w:r>
      <w:r>
        <w:rPr>
          <w:rFonts w:hint="eastAsia" w:ascii="宋体" w:hAnsi="宋体" w:cs="宋体"/>
          <w:color w:val="auto"/>
          <w:kern w:val="0"/>
          <w:highlight w:val="none"/>
        </w:rPr>
        <w:t>销</w:t>
      </w:r>
      <w:r>
        <w:rPr>
          <w:rFonts w:hint="eastAsia" w:ascii="宋体" w:hAnsi="宋体" w:cs="宋体"/>
          <w:color w:val="auto"/>
          <w:kern w:val="0"/>
          <w:highlight w:val="none"/>
          <w:lang w:val="en-US" w:eastAsia="zh-CN"/>
        </w:rPr>
        <w:t>策划</w:t>
      </w:r>
      <w:r>
        <w:rPr>
          <w:rFonts w:hint="eastAsia" w:ascii="宋体" w:hAnsi="宋体" w:cs="宋体"/>
          <w:color w:val="auto"/>
          <w:kern w:val="0"/>
          <w:highlight w:val="none"/>
        </w:rPr>
        <w:t>顾问费用</w:t>
      </w:r>
      <w:r>
        <w:rPr>
          <w:rFonts w:hint="eastAsia" w:ascii="宋体" w:hAnsi="宋体" w:eastAsia="宋体"/>
          <w:color w:val="auto"/>
          <w:kern w:val="0"/>
          <w:szCs w:val="21"/>
          <w:highlight w:val="none"/>
        </w:rPr>
        <w:t>，作为项目启动费用。</w:t>
      </w:r>
    </w:p>
    <w:p w14:paraId="7C04501E">
      <w:pPr>
        <w:pStyle w:val="113"/>
        <w:widowControl/>
        <w:numPr>
          <w:ilvl w:val="0"/>
          <w:numId w:val="13"/>
        </w:numPr>
        <w:spacing w:before="93" w:beforeLines="30" w:after="0" w:line="360" w:lineRule="auto"/>
        <w:jc w:val="both"/>
        <w:rPr>
          <w:rFonts w:hint="eastAsia" w:ascii="宋体" w:hAnsi="宋体" w:eastAsia="宋体"/>
          <w:color w:val="auto"/>
          <w:kern w:val="0"/>
          <w:szCs w:val="21"/>
          <w:highlight w:val="none"/>
        </w:rPr>
      </w:pPr>
      <w:r>
        <w:rPr>
          <w:rFonts w:hint="eastAsia" w:ascii="宋体" w:hAnsi="宋体" w:eastAsia="宋体"/>
          <w:color w:val="auto"/>
          <w:kern w:val="0"/>
          <w:szCs w:val="21"/>
          <w:highlight w:val="none"/>
        </w:rPr>
        <w:t>后续营销顾问费用：自双方签订合同之日起的第四个月起，每</w:t>
      </w:r>
      <w:r>
        <w:rPr>
          <w:rFonts w:hint="eastAsia" w:ascii="宋体" w:hAnsi="宋体" w:eastAsia="宋体"/>
          <w:color w:val="auto"/>
          <w:kern w:val="0"/>
          <w:szCs w:val="21"/>
          <w:highlight w:val="none"/>
          <w:lang w:val="en-US" w:eastAsia="zh-CN"/>
        </w:rPr>
        <w:t>3个月为一个付款周期，在每个付款周期</w:t>
      </w:r>
      <w:r>
        <w:rPr>
          <w:rFonts w:hint="eastAsia" w:ascii="宋体" w:hAnsi="宋体" w:eastAsia="宋体"/>
          <w:color w:val="auto"/>
          <w:kern w:val="0"/>
          <w:szCs w:val="21"/>
          <w:highlight w:val="none"/>
        </w:rPr>
        <w:t>结束后</w:t>
      </w:r>
      <w:r>
        <w:rPr>
          <w:rFonts w:hint="eastAsia" w:ascii="宋体" w:hAnsi="宋体" w:eastAsia="宋体"/>
          <w:color w:val="auto"/>
          <w:kern w:val="0"/>
          <w:szCs w:val="21"/>
          <w:highlight w:val="none"/>
          <w:lang w:eastAsia="zh-CN"/>
        </w:rPr>
        <w:t>，</w:t>
      </w:r>
      <w:r>
        <w:rPr>
          <w:rFonts w:hint="eastAsia" w:ascii="宋体" w:hAnsi="宋体" w:eastAsia="宋体"/>
          <w:color w:val="auto"/>
          <w:kern w:val="0"/>
          <w:szCs w:val="21"/>
          <w:highlight w:val="none"/>
        </w:rPr>
        <w:t>乙方</w:t>
      </w:r>
      <w:r>
        <w:rPr>
          <w:rFonts w:hint="eastAsia" w:ascii="宋体" w:hAnsi="宋体" w:eastAsia="宋体"/>
          <w:color w:val="auto"/>
          <w:kern w:val="0"/>
          <w:szCs w:val="21"/>
          <w:highlight w:val="none"/>
          <w:lang w:val="en-US" w:eastAsia="zh-CN"/>
        </w:rPr>
        <w:t>向甲方提交付款申请，并</w:t>
      </w:r>
      <w:r>
        <w:rPr>
          <w:rFonts w:hint="eastAsia" w:ascii="宋体" w:hAnsi="宋体" w:eastAsia="宋体"/>
          <w:color w:val="auto"/>
          <w:kern w:val="0"/>
          <w:szCs w:val="21"/>
          <w:highlight w:val="none"/>
        </w:rPr>
        <w:t>开具足额的符合法律规定的【增值税专用】发票，甲方收到由乙方出具的有效等额增值税专用发票起【</w:t>
      </w:r>
      <w:r>
        <w:rPr>
          <w:rFonts w:ascii="宋体" w:hAnsi="宋体" w:eastAsia="宋体"/>
          <w:color w:val="auto"/>
          <w:kern w:val="0"/>
          <w:szCs w:val="21"/>
          <w:highlight w:val="none"/>
        </w:rPr>
        <w:t>1</w:t>
      </w:r>
      <w:r>
        <w:rPr>
          <w:rFonts w:hint="eastAsia" w:ascii="宋体" w:hAnsi="宋体" w:eastAsia="宋体"/>
          <w:color w:val="auto"/>
          <w:kern w:val="0"/>
          <w:szCs w:val="21"/>
          <w:highlight w:val="none"/>
          <w:lang w:val="en-US" w:eastAsia="zh-CN"/>
        </w:rPr>
        <w:t>5</w:t>
      </w:r>
      <w:r>
        <w:rPr>
          <w:rFonts w:hint="eastAsia" w:ascii="宋体" w:hAnsi="宋体" w:eastAsia="宋体"/>
          <w:color w:val="auto"/>
          <w:kern w:val="0"/>
          <w:szCs w:val="21"/>
          <w:highlight w:val="none"/>
        </w:rPr>
        <w:t>】个工作日内向乙方支付当</w:t>
      </w:r>
      <w:r>
        <w:rPr>
          <w:rFonts w:hint="eastAsia" w:ascii="宋体" w:hAnsi="宋体" w:eastAsia="宋体"/>
          <w:color w:val="auto"/>
          <w:kern w:val="0"/>
          <w:szCs w:val="21"/>
          <w:highlight w:val="none"/>
          <w:lang w:val="en-US" w:eastAsia="zh-CN"/>
        </w:rPr>
        <w:t>期</w:t>
      </w:r>
      <w:r>
        <w:rPr>
          <w:rFonts w:hint="eastAsia" w:ascii="宋体" w:hAnsi="宋体" w:eastAsia="宋体"/>
          <w:color w:val="auto"/>
          <w:kern w:val="0"/>
          <w:szCs w:val="21"/>
          <w:highlight w:val="none"/>
        </w:rPr>
        <w:t>含税服务费用（</w:t>
      </w:r>
      <w:r>
        <w:rPr>
          <w:rFonts w:hint="eastAsia" w:ascii="宋体" w:hAnsi="宋体" w:eastAsia="宋体"/>
          <w:color w:val="auto"/>
          <w:kern w:val="0"/>
          <w:szCs w:val="21"/>
          <w:highlight w:val="none"/>
          <w:lang w:val="en-US" w:eastAsia="zh-CN"/>
        </w:rPr>
        <w:t>如最后一期不满3个月，则按实际期限支付</w:t>
      </w:r>
      <w:r>
        <w:rPr>
          <w:rFonts w:hint="eastAsia" w:ascii="宋体" w:hAnsi="宋体" w:eastAsia="宋体"/>
          <w:color w:val="auto"/>
          <w:kern w:val="0"/>
          <w:szCs w:val="21"/>
          <w:highlight w:val="none"/>
        </w:rPr>
        <w:t xml:space="preserve">）。 </w:t>
      </w:r>
    </w:p>
    <w:p w14:paraId="55CB2A31">
      <w:pPr>
        <w:widowControl/>
        <w:numPr>
          <w:ilvl w:val="0"/>
          <w:numId w:val="12"/>
        </w:numPr>
        <w:spacing w:before="93" w:beforeLines="30" w:line="360" w:lineRule="auto"/>
        <w:ind w:left="1276" w:hanging="425"/>
        <w:rPr>
          <w:rFonts w:hint="eastAsia" w:ascii="宋体" w:hAnsi="宋体"/>
          <w:color w:val="auto"/>
          <w:kern w:val="0"/>
          <w:szCs w:val="21"/>
          <w:highlight w:val="none"/>
        </w:rPr>
      </w:pPr>
      <w:r>
        <w:rPr>
          <w:rFonts w:hint="eastAsia" w:ascii="宋体" w:hAnsi="宋体" w:cs="宋体"/>
          <w:color w:val="auto"/>
          <w:kern w:val="0"/>
          <w:highlight w:val="none"/>
        </w:rPr>
        <w:t>乙方代</w:t>
      </w:r>
      <w:r>
        <w:rPr>
          <w:rFonts w:hint="eastAsia" w:ascii="宋体" w:hAnsi="宋体"/>
          <w:color w:val="auto"/>
          <w:kern w:val="0"/>
          <w:szCs w:val="21"/>
          <w:highlight w:val="none"/>
        </w:rPr>
        <w:t>理佣金</w:t>
      </w:r>
      <w:r>
        <w:rPr>
          <w:rFonts w:hint="eastAsia" w:ascii="宋体" w:hAnsi="宋体"/>
          <w:color w:val="auto"/>
          <w:kern w:val="0"/>
          <w:szCs w:val="21"/>
          <w:highlight w:val="none"/>
          <w:lang w:val="en-US" w:eastAsia="zh-CN"/>
        </w:rPr>
        <w:t>及</w:t>
      </w:r>
      <w:r>
        <w:rPr>
          <w:rFonts w:hint="eastAsia" w:ascii="宋体" w:hAnsi="宋体"/>
          <w:color w:val="auto"/>
          <w:kern w:val="0"/>
          <w:szCs w:val="21"/>
          <w:highlight w:val="none"/>
        </w:rPr>
        <w:t>统筹管理佣金的收取以甲方和客户签署正式租赁合同并收到客户缴纳足额租赁保证金（押金）及首年首月（如有免租期，则为首年免租期后首月）租金</w:t>
      </w:r>
      <w:r>
        <w:rPr>
          <w:rFonts w:hint="eastAsia" w:ascii="宋体" w:hAnsi="宋体"/>
          <w:color w:val="auto"/>
          <w:kern w:val="0"/>
          <w:szCs w:val="21"/>
          <w:highlight w:val="none"/>
          <w:lang w:eastAsia="zh-CN"/>
        </w:rPr>
        <w:t>（</w:t>
      </w:r>
      <w:r>
        <w:rPr>
          <w:rFonts w:hint="eastAsia" w:ascii="宋体" w:hAnsi="宋体"/>
          <w:color w:val="auto"/>
          <w:kern w:val="0"/>
          <w:szCs w:val="21"/>
          <w:highlight w:val="none"/>
          <w:lang w:val="en-US" w:eastAsia="zh-CN"/>
        </w:rPr>
        <w:t>不含</w:t>
      </w:r>
      <w:r>
        <w:rPr>
          <w:rFonts w:ascii="宋体" w:hAnsi="宋体"/>
          <w:color w:val="auto"/>
          <w:szCs w:val="21"/>
          <w:highlight w:val="none"/>
        </w:rPr>
        <w:t>物业管理费</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水电费</w:t>
      </w:r>
      <w:r>
        <w:rPr>
          <w:rFonts w:ascii="宋体" w:hAnsi="宋体"/>
          <w:color w:val="auto"/>
          <w:szCs w:val="21"/>
          <w:highlight w:val="none"/>
        </w:rPr>
        <w:t>及空调费</w:t>
      </w:r>
      <w:r>
        <w:rPr>
          <w:rFonts w:hint="eastAsia" w:ascii="宋体" w:hAnsi="宋体"/>
          <w:color w:val="auto"/>
          <w:szCs w:val="21"/>
          <w:highlight w:val="none"/>
        </w:rPr>
        <w:t>以外应付的含税租金</w:t>
      </w:r>
      <w:r>
        <w:rPr>
          <w:rFonts w:hint="eastAsia" w:ascii="宋体" w:hAnsi="宋体"/>
          <w:color w:val="auto"/>
          <w:kern w:val="0"/>
          <w:szCs w:val="21"/>
          <w:highlight w:val="none"/>
          <w:lang w:eastAsia="zh-CN"/>
        </w:rPr>
        <w:t>）</w:t>
      </w:r>
      <w:r>
        <w:rPr>
          <w:rFonts w:hint="eastAsia" w:ascii="宋体" w:hAnsi="宋体"/>
          <w:color w:val="auto"/>
          <w:kern w:val="0"/>
          <w:szCs w:val="21"/>
          <w:highlight w:val="none"/>
        </w:rPr>
        <w:t>为准。</w:t>
      </w:r>
    </w:p>
    <w:p w14:paraId="4EF31611">
      <w:pPr>
        <w:widowControl/>
        <w:numPr>
          <w:ilvl w:val="0"/>
          <w:numId w:val="12"/>
        </w:numPr>
        <w:spacing w:before="93" w:beforeLines="30" w:line="360" w:lineRule="auto"/>
        <w:ind w:left="1276" w:hanging="425"/>
        <w:rPr>
          <w:rFonts w:hint="eastAsia" w:ascii="宋体" w:hAnsi="宋体" w:cs="宋体"/>
          <w:color w:val="auto"/>
          <w:kern w:val="0"/>
          <w:highlight w:val="none"/>
        </w:rPr>
      </w:pPr>
      <w:r>
        <w:rPr>
          <w:rFonts w:hint="eastAsia" w:ascii="宋体" w:hAnsi="宋体" w:cs="宋体"/>
          <w:color w:val="auto"/>
          <w:kern w:val="0"/>
          <w:highlight w:val="none"/>
        </w:rPr>
        <w:t>乙方代理佣金及统筹管理佣金收取条件在满足上述</w:t>
      </w:r>
      <w:r>
        <w:rPr>
          <w:rFonts w:ascii="宋体" w:hAnsi="宋体" w:cs="宋体"/>
          <w:color w:val="auto"/>
          <w:kern w:val="0"/>
          <w:highlight w:val="none"/>
        </w:rPr>
        <w:t>2</w:t>
      </w:r>
      <w:r>
        <w:rPr>
          <w:rFonts w:hint="eastAsia" w:ascii="宋体" w:hAnsi="宋体" w:cs="宋体"/>
          <w:color w:val="auto"/>
          <w:kern w:val="0"/>
          <w:highlight w:val="none"/>
        </w:rPr>
        <w:t>）规定后，由甲方按完整日历月结算并支付给乙方，结算日为每月最后一个工作日。</w:t>
      </w:r>
    </w:p>
    <w:p w14:paraId="0234E1F1">
      <w:pPr>
        <w:widowControl/>
        <w:numPr>
          <w:ilvl w:val="0"/>
          <w:numId w:val="12"/>
        </w:numPr>
        <w:spacing w:before="93" w:beforeLines="30" w:line="360" w:lineRule="auto"/>
        <w:ind w:left="1276" w:hanging="425"/>
        <w:rPr>
          <w:rFonts w:hint="eastAsia" w:ascii="宋体" w:hAnsi="宋体" w:cs="宋体"/>
          <w:color w:val="auto"/>
          <w:kern w:val="0"/>
          <w:highlight w:val="none"/>
        </w:rPr>
      </w:pPr>
      <w:r>
        <w:rPr>
          <w:rFonts w:hint="eastAsia" w:ascii="宋体" w:hAnsi="宋体" w:cs="宋体"/>
          <w:color w:val="auto"/>
          <w:kern w:val="0"/>
          <w:highlight w:val="none"/>
        </w:rPr>
        <w:t>支付方式为甲方收到乙方付款通知书及增值税专用发票后的十五个工作日内，甲方将应付款项汇至乙方指定的银行帐户：</w:t>
      </w:r>
    </w:p>
    <w:p w14:paraId="1566C390">
      <w:pPr>
        <w:adjustRightInd w:val="0"/>
        <w:snapToGrid w:val="0"/>
        <w:spacing w:before="93" w:beforeLines="30" w:line="360" w:lineRule="auto"/>
        <w:ind w:left="850" w:leftChars="405" w:firstLine="420" w:firstLineChars="200"/>
        <w:rPr>
          <w:rFonts w:hint="eastAsia" w:ascii="宋体" w:hAnsi="宋体"/>
          <w:bCs/>
          <w:color w:val="auto"/>
          <w:szCs w:val="21"/>
          <w:highlight w:val="none"/>
        </w:rPr>
      </w:pPr>
      <w:r>
        <w:rPr>
          <w:rFonts w:hint="eastAsia" w:ascii="宋体" w:hAnsi="宋体"/>
          <w:bCs/>
          <w:color w:val="auto"/>
          <w:szCs w:val="21"/>
          <w:highlight w:val="none"/>
        </w:rPr>
        <w:t>银行名称：</w:t>
      </w:r>
      <w:r>
        <w:rPr>
          <w:rFonts w:ascii="宋体" w:hAnsi="宋体"/>
          <w:bCs/>
          <w:color w:val="auto"/>
          <w:szCs w:val="21"/>
          <w:highlight w:val="none"/>
          <w:u w:val="single"/>
        </w:rPr>
        <w:t xml:space="preserve">                                    </w:t>
      </w:r>
    </w:p>
    <w:p w14:paraId="0F33CF84">
      <w:pPr>
        <w:adjustRightInd w:val="0"/>
        <w:snapToGrid w:val="0"/>
        <w:spacing w:before="93" w:beforeLines="30" w:line="360" w:lineRule="auto"/>
        <w:ind w:left="850" w:leftChars="405" w:firstLine="420" w:firstLineChars="200"/>
        <w:rPr>
          <w:rFonts w:hint="eastAsia" w:ascii="宋体" w:hAnsi="宋体"/>
          <w:bCs/>
          <w:color w:val="auto"/>
          <w:szCs w:val="21"/>
          <w:highlight w:val="none"/>
        </w:rPr>
      </w:pPr>
      <w:r>
        <w:rPr>
          <w:rFonts w:hint="eastAsia" w:ascii="宋体" w:hAnsi="宋体"/>
          <w:bCs/>
          <w:color w:val="auto"/>
          <w:szCs w:val="21"/>
          <w:highlight w:val="none"/>
        </w:rPr>
        <w:t>开户名称：</w:t>
      </w:r>
      <w:r>
        <w:rPr>
          <w:rFonts w:ascii="宋体" w:hAnsi="宋体"/>
          <w:bCs/>
          <w:color w:val="auto"/>
          <w:szCs w:val="21"/>
          <w:highlight w:val="none"/>
          <w:u w:val="single"/>
        </w:rPr>
        <w:t xml:space="preserve">                                    </w:t>
      </w:r>
      <w:r>
        <w:rPr>
          <w:rFonts w:hint="eastAsia" w:ascii="宋体" w:hAnsi="宋体"/>
          <w:bCs/>
          <w:color w:val="auto"/>
          <w:szCs w:val="21"/>
          <w:highlight w:val="none"/>
        </w:rPr>
        <w:t xml:space="preserve"> </w:t>
      </w:r>
    </w:p>
    <w:p w14:paraId="20B35BFD">
      <w:pPr>
        <w:adjustRightInd w:val="0"/>
        <w:snapToGrid w:val="0"/>
        <w:spacing w:before="93" w:beforeLines="30" w:line="360" w:lineRule="auto"/>
        <w:ind w:left="850" w:leftChars="405" w:firstLine="420" w:firstLineChars="200"/>
        <w:rPr>
          <w:rFonts w:hint="eastAsia" w:ascii="宋体" w:hAnsi="宋体"/>
          <w:bCs/>
          <w:color w:val="auto"/>
          <w:szCs w:val="21"/>
          <w:highlight w:val="none"/>
        </w:rPr>
      </w:pPr>
      <w:r>
        <w:rPr>
          <w:rFonts w:hint="eastAsia" w:ascii="宋体" w:hAnsi="宋体"/>
          <w:bCs/>
          <w:color w:val="auto"/>
          <w:szCs w:val="21"/>
          <w:highlight w:val="none"/>
        </w:rPr>
        <w:t>帐    号：</w:t>
      </w:r>
      <w:r>
        <w:rPr>
          <w:rFonts w:ascii="宋体" w:hAnsi="宋体"/>
          <w:bCs/>
          <w:color w:val="auto"/>
          <w:szCs w:val="21"/>
          <w:highlight w:val="none"/>
          <w:u w:val="single"/>
        </w:rPr>
        <w:t xml:space="preserve">                                    </w:t>
      </w:r>
    </w:p>
    <w:p w14:paraId="7FA33B80">
      <w:pPr>
        <w:widowControl/>
        <w:numPr>
          <w:ilvl w:val="0"/>
          <w:numId w:val="12"/>
        </w:numPr>
        <w:spacing w:before="93" w:beforeLines="30" w:line="360" w:lineRule="auto"/>
        <w:ind w:left="1276" w:hanging="425"/>
        <w:rPr>
          <w:rFonts w:hint="eastAsia" w:ascii="宋体" w:hAnsi="宋体" w:cs="宋体"/>
          <w:color w:val="auto"/>
          <w:kern w:val="0"/>
          <w:szCs w:val="21"/>
          <w:highlight w:val="none"/>
        </w:rPr>
      </w:pPr>
      <w:r>
        <w:rPr>
          <w:rFonts w:ascii="宋体" w:hAnsi="宋体" w:cs="宋体"/>
          <w:color w:val="auto"/>
          <w:szCs w:val="21"/>
          <w:highlight w:val="none"/>
        </w:rPr>
        <w:t>若乙方不按时</w:t>
      </w:r>
      <w:r>
        <w:rPr>
          <w:rFonts w:hint="eastAsia" w:ascii="宋体" w:hAnsi="宋体" w:cs="宋体"/>
          <w:color w:val="auto"/>
          <w:szCs w:val="21"/>
          <w:highlight w:val="none"/>
        </w:rPr>
        <w:t>提交代理费用付款申请书</w:t>
      </w:r>
      <w:r>
        <w:rPr>
          <w:rFonts w:ascii="宋体" w:hAnsi="宋体" w:cs="宋体"/>
          <w:color w:val="auto"/>
          <w:szCs w:val="21"/>
          <w:highlight w:val="none"/>
        </w:rPr>
        <w:t>及合法有效的等额发票或提交的</w:t>
      </w:r>
      <w:r>
        <w:rPr>
          <w:rFonts w:hint="eastAsia" w:ascii="宋体" w:hAnsi="宋体" w:cs="宋体"/>
          <w:color w:val="auto"/>
          <w:szCs w:val="21"/>
          <w:highlight w:val="none"/>
        </w:rPr>
        <w:t>代理费用</w:t>
      </w:r>
      <w:r>
        <w:rPr>
          <w:rFonts w:ascii="宋体" w:hAnsi="宋体" w:cs="宋体"/>
          <w:color w:val="auto"/>
          <w:szCs w:val="21"/>
          <w:highlight w:val="none"/>
        </w:rPr>
        <w:t>付款申请书及发票不符合甲方要求的，甲方有权暂缓支付</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一切责任由乙方承担</w:t>
      </w:r>
      <w:r>
        <w:rPr>
          <w:rFonts w:ascii="宋体" w:hAnsi="宋体" w:cs="宋体"/>
          <w:color w:val="auto"/>
          <w:szCs w:val="21"/>
          <w:highlight w:val="none"/>
        </w:rPr>
        <w:t>。</w:t>
      </w:r>
    </w:p>
    <w:p w14:paraId="7FA66AC1">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79" w:name="_Toc217989632"/>
      <w:bookmarkEnd w:id="479"/>
      <w:bookmarkStart w:id="480" w:name="_Toc219170987"/>
      <w:bookmarkEnd w:id="480"/>
      <w:bookmarkStart w:id="481" w:name="_Toc218077918"/>
      <w:bookmarkEnd w:id="481"/>
      <w:bookmarkStart w:id="482" w:name="_Toc219170989"/>
      <w:bookmarkStart w:id="483" w:name="_Toc459571393"/>
      <w:bookmarkStart w:id="484" w:name="_Toc15305"/>
      <w:r>
        <w:rPr>
          <w:rFonts w:hint="eastAsia" w:ascii="宋体" w:hAnsi="宋体" w:eastAsia="宋体"/>
          <w:color w:val="auto"/>
          <w:sz w:val="24"/>
          <w:szCs w:val="24"/>
          <w:highlight w:val="none"/>
        </w:rPr>
        <w:t>合同的变更、解除和废止</w:t>
      </w:r>
      <w:bookmarkEnd w:id="482"/>
      <w:bookmarkEnd w:id="483"/>
      <w:bookmarkEnd w:id="484"/>
    </w:p>
    <w:p w14:paraId="7880F9D8">
      <w:pPr>
        <w:numPr>
          <w:ilvl w:val="1"/>
          <w:numId w:val="14"/>
        </w:numPr>
        <w:autoSpaceDE w:val="0"/>
        <w:autoSpaceDN w:val="0"/>
        <w:adjustRightInd w:val="0"/>
        <w:snapToGrid w:val="0"/>
        <w:spacing w:before="93" w:beforeLines="30" w:line="360" w:lineRule="auto"/>
        <w:ind w:hanging="511"/>
        <w:jc w:val="left"/>
        <w:rPr>
          <w:rFonts w:hint="eastAsia" w:ascii="宋体" w:hAnsi="宋体"/>
          <w:color w:val="auto"/>
          <w:szCs w:val="21"/>
          <w:highlight w:val="none"/>
        </w:rPr>
      </w:pPr>
      <w:r>
        <w:rPr>
          <w:rFonts w:hint="eastAsia" w:ascii="宋体" w:hAnsi="宋体"/>
          <w:color w:val="auto"/>
          <w:szCs w:val="21"/>
          <w:highlight w:val="none"/>
        </w:rPr>
        <w:t>若甲乙双方同意，可以对本合同项下的条款进行变更</w:t>
      </w:r>
      <w:r>
        <w:rPr>
          <w:rFonts w:hint="eastAsia" w:ascii="宋体" w:hAnsi="宋体"/>
          <w:color w:val="auto"/>
          <w:szCs w:val="21"/>
          <w:highlight w:val="none"/>
          <w:lang w:val="en-US" w:eastAsia="zh-CN"/>
        </w:rPr>
        <w:t>并签订书面补充协议</w:t>
      </w:r>
      <w:r>
        <w:rPr>
          <w:rFonts w:hint="eastAsia" w:ascii="宋体" w:hAnsi="宋体"/>
          <w:color w:val="auto"/>
          <w:szCs w:val="21"/>
          <w:highlight w:val="none"/>
        </w:rPr>
        <w:t>，</w:t>
      </w:r>
      <w:r>
        <w:rPr>
          <w:rFonts w:hint="eastAsia" w:ascii="宋体" w:hAnsi="宋体"/>
          <w:color w:val="auto"/>
          <w:szCs w:val="21"/>
          <w:highlight w:val="none"/>
          <w:lang w:val="en-US" w:eastAsia="zh-CN"/>
        </w:rPr>
        <w:t>补充协议</w:t>
      </w:r>
      <w:r>
        <w:rPr>
          <w:rFonts w:hint="eastAsia" w:ascii="宋体" w:hAnsi="宋体"/>
          <w:color w:val="auto"/>
          <w:szCs w:val="21"/>
          <w:highlight w:val="none"/>
        </w:rPr>
        <w:t>作为本合同的</w:t>
      </w:r>
      <w:r>
        <w:rPr>
          <w:rFonts w:hint="eastAsia" w:ascii="宋体" w:hAnsi="宋体"/>
          <w:color w:val="auto"/>
          <w:szCs w:val="21"/>
          <w:highlight w:val="none"/>
          <w:lang w:val="en-US" w:eastAsia="zh-CN"/>
        </w:rPr>
        <w:t>有效组成部分</w:t>
      </w:r>
      <w:r>
        <w:rPr>
          <w:rFonts w:hint="eastAsia" w:ascii="宋体" w:hAnsi="宋体"/>
          <w:color w:val="auto"/>
          <w:szCs w:val="21"/>
          <w:highlight w:val="none"/>
        </w:rPr>
        <w:t>，与本合同具有同等法律效力。</w:t>
      </w:r>
    </w:p>
    <w:p w14:paraId="6477F01F">
      <w:pPr>
        <w:numPr>
          <w:ilvl w:val="1"/>
          <w:numId w:val="14"/>
        </w:numPr>
        <w:autoSpaceDE w:val="0"/>
        <w:autoSpaceDN w:val="0"/>
        <w:adjustRightInd w:val="0"/>
        <w:snapToGrid w:val="0"/>
        <w:spacing w:before="93" w:beforeLines="30" w:line="360" w:lineRule="auto"/>
        <w:ind w:hanging="511"/>
        <w:jc w:val="left"/>
        <w:rPr>
          <w:rFonts w:hint="eastAsia" w:ascii="宋体" w:hAnsi="宋体"/>
          <w:color w:val="auto"/>
          <w:szCs w:val="21"/>
          <w:highlight w:val="none"/>
        </w:rPr>
      </w:pPr>
      <w:r>
        <w:rPr>
          <w:rFonts w:hint="eastAsia" w:ascii="宋体" w:hAnsi="宋体"/>
          <w:color w:val="auto"/>
          <w:szCs w:val="21"/>
          <w:highlight w:val="none"/>
        </w:rPr>
        <w:t>本合同有效期内，甲方所委托的（合同附件一）物业租罄，本合同自然终止。</w:t>
      </w:r>
    </w:p>
    <w:p w14:paraId="35A87962">
      <w:pPr>
        <w:numPr>
          <w:ilvl w:val="1"/>
          <w:numId w:val="14"/>
        </w:numPr>
        <w:autoSpaceDE w:val="0"/>
        <w:autoSpaceDN w:val="0"/>
        <w:adjustRightInd w:val="0"/>
        <w:snapToGrid w:val="0"/>
        <w:spacing w:before="93" w:beforeLines="30" w:line="360" w:lineRule="auto"/>
        <w:ind w:hanging="511"/>
        <w:jc w:val="left"/>
        <w:rPr>
          <w:rFonts w:hint="eastAsia" w:ascii="宋体" w:hAnsi="宋体"/>
          <w:color w:val="auto"/>
          <w:szCs w:val="21"/>
          <w:highlight w:val="none"/>
        </w:rPr>
      </w:pPr>
      <w:r>
        <w:rPr>
          <w:rFonts w:hint="eastAsia" w:ascii="宋体" w:hAnsi="宋体"/>
          <w:color w:val="auto"/>
          <w:szCs w:val="21"/>
          <w:highlight w:val="none"/>
        </w:rPr>
        <w:t>乙方在本项目租赁工作中违反有关法律法规，违背或不履行本合同约定之应负责任、义务，甲方有权提前终止合同且不承担任何违约责任，并有权要求乙方赔偿损失（包括但不限于给甲方造成的直接经济损失、预期可得利益损失以及甲方为实现债权而支出的律师费、保全费、诉讼费、公证费、鉴定费、调查费和差旅费等一切费用）。。</w:t>
      </w:r>
    </w:p>
    <w:p w14:paraId="4FA28DC0">
      <w:pPr>
        <w:numPr>
          <w:ilvl w:val="1"/>
          <w:numId w:val="14"/>
        </w:numPr>
        <w:autoSpaceDE w:val="0"/>
        <w:autoSpaceDN w:val="0"/>
        <w:adjustRightInd w:val="0"/>
        <w:snapToGrid w:val="0"/>
        <w:spacing w:before="93" w:beforeLines="30" w:line="360" w:lineRule="auto"/>
        <w:ind w:hanging="511"/>
        <w:jc w:val="left"/>
        <w:rPr>
          <w:rFonts w:hint="eastAsia" w:ascii="宋体" w:hAnsi="宋体"/>
          <w:color w:val="auto"/>
          <w:szCs w:val="21"/>
          <w:highlight w:val="none"/>
        </w:rPr>
      </w:pPr>
      <w:r>
        <w:rPr>
          <w:rFonts w:hint="eastAsia" w:ascii="宋体" w:hAnsi="宋体"/>
          <w:color w:val="auto"/>
          <w:szCs w:val="21"/>
          <w:highlight w:val="none"/>
        </w:rPr>
        <w:t>若乙方在考核节点租赁完成进度未达到当</w:t>
      </w:r>
      <w:r>
        <w:rPr>
          <w:rFonts w:hint="eastAsia" w:ascii="宋体" w:hAnsi="宋体"/>
          <w:color w:val="auto"/>
          <w:szCs w:val="21"/>
          <w:highlight w:val="none"/>
          <w:lang w:val="en-US" w:eastAsia="zh-CN"/>
        </w:rPr>
        <w:t>期</w:t>
      </w:r>
      <w:r>
        <w:rPr>
          <w:rFonts w:hint="eastAsia" w:ascii="宋体" w:hAnsi="宋体"/>
          <w:color w:val="auto"/>
          <w:szCs w:val="21"/>
          <w:highlight w:val="none"/>
        </w:rPr>
        <w:t>考核阶段任务的</w:t>
      </w:r>
      <w:r>
        <w:rPr>
          <w:rFonts w:ascii="宋体" w:hAnsi="宋体"/>
          <w:color w:val="auto"/>
          <w:szCs w:val="21"/>
          <w:highlight w:val="none"/>
        </w:rPr>
        <w:t>80%</w:t>
      </w:r>
      <w:r>
        <w:rPr>
          <w:rFonts w:hint="eastAsia" w:ascii="宋体" w:hAnsi="宋体"/>
          <w:color w:val="auto"/>
          <w:szCs w:val="21"/>
          <w:highlight w:val="none"/>
        </w:rPr>
        <w:t>时，甲方有权提前</w:t>
      </w:r>
      <w:r>
        <w:rPr>
          <w:rFonts w:ascii="宋体" w:hAnsi="宋体"/>
          <w:color w:val="auto"/>
          <w:szCs w:val="21"/>
          <w:highlight w:val="none"/>
        </w:rPr>
        <w:t>10</w:t>
      </w:r>
      <w:r>
        <w:rPr>
          <w:rFonts w:hint="eastAsia" w:ascii="宋体" w:hAnsi="宋体"/>
          <w:color w:val="auto"/>
          <w:szCs w:val="21"/>
          <w:highlight w:val="none"/>
        </w:rPr>
        <w:t>天以书面形式通知乙方提前终止合同，或增加甲方自主统筹的一般代理为联合首席租赁代理，乙方不得以任何理由拒绝和主张任何索赔。</w:t>
      </w:r>
    </w:p>
    <w:p w14:paraId="250ED757">
      <w:pPr>
        <w:numPr>
          <w:ilvl w:val="1"/>
          <w:numId w:val="14"/>
        </w:numPr>
        <w:autoSpaceDE w:val="0"/>
        <w:autoSpaceDN w:val="0"/>
        <w:adjustRightInd w:val="0"/>
        <w:snapToGrid w:val="0"/>
        <w:spacing w:before="93" w:beforeLines="30" w:line="360" w:lineRule="auto"/>
        <w:ind w:hanging="511"/>
        <w:jc w:val="left"/>
        <w:rPr>
          <w:rFonts w:hint="eastAsia" w:ascii="宋体" w:hAnsi="宋体"/>
          <w:color w:val="auto"/>
          <w:szCs w:val="21"/>
          <w:highlight w:val="none"/>
        </w:rPr>
      </w:pPr>
      <w:r>
        <w:rPr>
          <w:rFonts w:hint="eastAsia" w:ascii="宋体" w:hAnsi="宋体"/>
          <w:color w:val="auto"/>
          <w:szCs w:val="21"/>
          <w:highlight w:val="none"/>
        </w:rPr>
        <w:t>若乙方在考核节点租赁完成进度未达到</w:t>
      </w:r>
      <w:r>
        <w:rPr>
          <w:rFonts w:hint="eastAsia" w:ascii="宋体" w:hAnsi="宋体"/>
          <w:color w:val="auto"/>
          <w:szCs w:val="21"/>
          <w:highlight w:val="none"/>
          <w:lang w:val="en-US" w:eastAsia="zh-CN"/>
        </w:rPr>
        <w:t>当期</w:t>
      </w:r>
      <w:r>
        <w:rPr>
          <w:rFonts w:hint="eastAsia" w:ascii="宋体" w:hAnsi="宋体"/>
          <w:color w:val="auto"/>
          <w:szCs w:val="21"/>
          <w:highlight w:val="none"/>
        </w:rPr>
        <w:t>考核阶段任务的</w:t>
      </w:r>
      <w:r>
        <w:rPr>
          <w:rFonts w:ascii="宋体" w:hAnsi="宋体"/>
          <w:color w:val="auto"/>
          <w:szCs w:val="21"/>
          <w:highlight w:val="none"/>
        </w:rPr>
        <w:t>90%</w:t>
      </w:r>
      <w:r>
        <w:rPr>
          <w:rFonts w:hint="eastAsia" w:ascii="宋体" w:hAnsi="宋体"/>
          <w:color w:val="auto"/>
          <w:szCs w:val="21"/>
          <w:highlight w:val="none"/>
        </w:rPr>
        <w:t>，但超过当前考核阶段任务的</w:t>
      </w:r>
      <w:r>
        <w:rPr>
          <w:rFonts w:ascii="宋体" w:hAnsi="宋体"/>
          <w:color w:val="auto"/>
          <w:szCs w:val="21"/>
          <w:highlight w:val="none"/>
        </w:rPr>
        <w:t>80%</w:t>
      </w:r>
      <w:r>
        <w:rPr>
          <w:rFonts w:hint="eastAsia" w:ascii="宋体" w:hAnsi="宋体"/>
          <w:color w:val="auto"/>
          <w:szCs w:val="21"/>
          <w:highlight w:val="none"/>
        </w:rPr>
        <w:t>时，乙方须提出切实有效的解决方案，经甲方审核决定是否将所有考核节点顺延</w:t>
      </w:r>
      <w:r>
        <w:rPr>
          <w:rFonts w:ascii="宋体" w:hAnsi="宋体"/>
          <w:color w:val="auto"/>
          <w:szCs w:val="21"/>
          <w:highlight w:val="none"/>
        </w:rPr>
        <w:t>2</w:t>
      </w:r>
      <w:r>
        <w:rPr>
          <w:rFonts w:hint="eastAsia" w:ascii="宋体" w:hAnsi="宋体"/>
          <w:color w:val="auto"/>
          <w:szCs w:val="21"/>
          <w:highlight w:val="none"/>
        </w:rPr>
        <w:t>个月作为宽限期，若顺延后乙方当前考核节点仍未完成租赁计划，甲方有权按以上</w:t>
      </w:r>
      <w:r>
        <w:rPr>
          <w:rFonts w:ascii="宋体" w:hAnsi="宋体"/>
          <w:color w:val="auto"/>
          <w:szCs w:val="21"/>
          <w:highlight w:val="none"/>
        </w:rPr>
        <w:t>10.4</w:t>
      </w:r>
      <w:r>
        <w:rPr>
          <w:rFonts w:hint="eastAsia" w:ascii="宋体" w:hAnsi="宋体"/>
          <w:color w:val="auto"/>
          <w:szCs w:val="21"/>
          <w:highlight w:val="none"/>
        </w:rPr>
        <w:t>条款执行。</w:t>
      </w:r>
    </w:p>
    <w:p w14:paraId="01C2D6F5">
      <w:pPr>
        <w:numPr>
          <w:ilvl w:val="1"/>
          <w:numId w:val="14"/>
        </w:numPr>
        <w:autoSpaceDE w:val="0"/>
        <w:autoSpaceDN w:val="0"/>
        <w:adjustRightInd w:val="0"/>
        <w:snapToGrid w:val="0"/>
        <w:spacing w:before="93" w:beforeLines="30" w:line="360" w:lineRule="auto"/>
        <w:ind w:hanging="511"/>
        <w:jc w:val="left"/>
        <w:rPr>
          <w:rFonts w:hint="eastAsia" w:ascii="宋体" w:hAnsi="宋体"/>
          <w:color w:val="auto"/>
          <w:szCs w:val="21"/>
          <w:highlight w:val="none"/>
        </w:rPr>
      </w:pPr>
      <w:r>
        <w:rPr>
          <w:rFonts w:hint="eastAsia" w:ascii="宋体" w:hAnsi="宋体"/>
          <w:color w:val="auto"/>
          <w:szCs w:val="21"/>
          <w:highlight w:val="none"/>
        </w:rPr>
        <w:t>除本合同已有约定外，甲乙双方于合同有效期内，未经双方协商一致，均不得无故单方面解除本合同。若任何一方无故单方面解除本合同，解除方需承担由此给另一方造成的直接经济损失的赔偿责任。</w:t>
      </w:r>
    </w:p>
    <w:p w14:paraId="0A38226A">
      <w:pPr>
        <w:numPr>
          <w:ilvl w:val="1"/>
          <w:numId w:val="14"/>
        </w:numPr>
        <w:autoSpaceDE w:val="0"/>
        <w:autoSpaceDN w:val="0"/>
        <w:adjustRightInd w:val="0"/>
        <w:snapToGrid w:val="0"/>
        <w:spacing w:before="93" w:beforeLines="30" w:line="360" w:lineRule="auto"/>
        <w:ind w:hanging="511"/>
        <w:jc w:val="left"/>
        <w:rPr>
          <w:rFonts w:hint="eastAsia" w:ascii="宋体" w:hAnsi="宋体"/>
          <w:color w:val="auto"/>
          <w:szCs w:val="21"/>
          <w:highlight w:val="none"/>
        </w:rPr>
      </w:pPr>
      <w:r>
        <w:rPr>
          <w:rFonts w:hint="eastAsia" w:ascii="宋体" w:hAnsi="宋体"/>
          <w:color w:val="auto"/>
          <w:szCs w:val="21"/>
          <w:highlight w:val="none"/>
        </w:rPr>
        <w:t>考核阶段任务指标（进度指标）如下：</w:t>
      </w:r>
    </w:p>
    <w:tbl>
      <w:tblPr>
        <w:tblStyle w:val="32"/>
        <w:tblpPr w:leftFromText="180" w:rightFromText="180" w:vertAnchor="text" w:tblpXSpec="center" w:tblpY="1"/>
        <w:tblOverlap w:val="never"/>
        <w:tblW w:w="0" w:type="auto"/>
        <w:tblInd w:w="0" w:type="dxa"/>
        <w:tblLayout w:type="fixed"/>
        <w:tblCellMar>
          <w:top w:w="0" w:type="dxa"/>
          <w:left w:w="0" w:type="dxa"/>
          <w:bottom w:w="0" w:type="dxa"/>
          <w:right w:w="0" w:type="dxa"/>
        </w:tblCellMar>
      </w:tblPr>
      <w:tblGrid>
        <w:gridCol w:w="4389"/>
        <w:gridCol w:w="1529"/>
      </w:tblGrid>
      <w:tr w14:paraId="16519370">
        <w:tblPrEx>
          <w:tblCellMar>
            <w:top w:w="0" w:type="dxa"/>
            <w:left w:w="0" w:type="dxa"/>
            <w:bottom w:w="0" w:type="dxa"/>
            <w:right w:w="0" w:type="dxa"/>
          </w:tblCellMar>
        </w:tblPrEx>
        <w:trPr>
          <w:trHeight w:val="509" w:hRule="exact"/>
        </w:trPr>
        <w:tc>
          <w:tcPr>
            <w:tcW w:w="4389" w:type="dxa"/>
            <w:tcBorders>
              <w:top w:val="single" w:color="000000" w:sz="4" w:space="0"/>
              <w:left w:val="single" w:color="000000" w:sz="4" w:space="0"/>
              <w:bottom w:val="single" w:color="000000" w:sz="4" w:space="0"/>
              <w:right w:val="single" w:color="000000" w:sz="4" w:space="0"/>
            </w:tcBorders>
            <w:noWrap w:val="0"/>
            <w:vAlign w:val="center"/>
          </w:tcPr>
          <w:p w14:paraId="655E1300">
            <w:pPr>
              <w:pStyle w:val="99"/>
              <w:jc w:val="center"/>
              <w:rPr>
                <w:rFonts w:hint="eastAsia" w:ascii="宋体" w:hAnsi="宋体"/>
                <w:color w:val="auto"/>
                <w:kern w:val="2"/>
                <w:sz w:val="21"/>
                <w:szCs w:val="21"/>
                <w:highlight w:val="none"/>
                <w:lang w:eastAsia="zh-CN"/>
              </w:rPr>
            </w:pPr>
            <w:r>
              <w:rPr>
                <w:rFonts w:hint="eastAsia" w:ascii="宋体" w:hAnsi="宋体"/>
                <w:color w:val="auto"/>
                <w:kern w:val="2"/>
                <w:sz w:val="21"/>
                <w:szCs w:val="21"/>
                <w:highlight w:val="none"/>
                <w:lang w:eastAsia="zh-CN"/>
              </w:rPr>
              <w:t>节点时间</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14:paraId="2175EABD">
            <w:pPr>
              <w:pStyle w:val="99"/>
              <w:jc w:val="center"/>
              <w:rPr>
                <w:rFonts w:hint="eastAsia" w:ascii="宋体" w:hAnsi="宋体"/>
                <w:color w:val="auto"/>
                <w:kern w:val="2"/>
                <w:sz w:val="21"/>
                <w:szCs w:val="21"/>
                <w:highlight w:val="none"/>
                <w:lang w:eastAsia="zh-CN"/>
              </w:rPr>
            </w:pPr>
            <w:r>
              <w:rPr>
                <w:rFonts w:hint="eastAsia" w:ascii="宋体" w:hAnsi="宋体"/>
                <w:color w:val="auto"/>
                <w:kern w:val="2"/>
                <w:sz w:val="21"/>
                <w:szCs w:val="21"/>
                <w:highlight w:val="none"/>
                <w:lang w:eastAsia="zh-CN"/>
              </w:rPr>
              <w:t>出租率</w:t>
            </w:r>
          </w:p>
        </w:tc>
      </w:tr>
      <w:tr w14:paraId="3E7C6748">
        <w:tblPrEx>
          <w:tblCellMar>
            <w:top w:w="0" w:type="dxa"/>
            <w:left w:w="0" w:type="dxa"/>
            <w:bottom w:w="0" w:type="dxa"/>
            <w:right w:w="0" w:type="dxa"/>
          </w:tblCellMar>
        </w:tblPrEx>
        <w:trPr>
          <w:trHeight w:val="636" w:hRule="exact"/>
        </w:trPr>
        <w:tc>
          <w:tcPr>
            <w:tcW w:w="4389" w:type="dxa"/>
            <w:tcBorders>
              <w:top w:val="single" w:color="000000" w:sz="4" w:space="0"/>
              <w:left w:val="single" w:color="000000" w:sz="4" w:space="0"/>
              <w:bottom w:val="single" w:color="000000" w:sz="4" w:space="0"/>
              <w:right w:val="single" w:color="000000" w:sz="4" w:space="0"/>
            </w:tcBorders>
            <w:noWrap w:val="0"/>
            <w:vAlign w:val="center"/>
          </w:tcPr>
          <w:p w14:paraId="36206CA5">
            <w:pPr>
              <w:pStyle w:val="99"/>
              <w:jc w:val="center"/>
              <w:rPr>
                <w:rFonts w:hint="eastAsia" w:ascii="宋体" w:hAnsi="宋体"/>
                <w:color w:val="auto"/>
                <w:kern w:val="2"/>
                <w:sz w:val="21"/>
                <w:szCs w:val="21"/>
                <w:highlight w:val="none"/>
                <w:lang w:eastAsia="zh-CN"/>
              </w:rPr>
            </w:pPr>
            <w:r>
              <w:rPr>
                <w:rFonts w:hint="eastAsia" w:ascii="宋体" w:hAnsi="宋体"/>
                <w:color w:val="auto"/>
                <w:kern w:val="2"/>
                <w:sz w:val="21"/>
                <w:szCs w:val="21"/>
                <w:highlight w:val="none"/>
                <w:lang w:eastAsia="zh-CN"/>
              </w:rPr>
              <w:t>竣工交付日前（暂定X年X月）</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14:paraId="4CDD8E11">
            <w:pPr>
              <w:pStyle w:val="99"/>
              <w:widowControl/>
              <w:spacing w:after="0"/>
              <w:jc w:val="center"/>
              <w:rPr>
                <w:rFonts w:hint="eastAsia" w:ascii="宋体" w:hAnsi="宋体" w:cs="Times New Roman"/>
                <w:color w:val="auto"/>
                <w:kern w:val="2"/>
                <w:sz w:val="21"/>
                <w:szCs w:val="21"/>
                <w:highlight w:val="none"/>
                <w:lang w:eastAsia="zh-CN"/>
              </w:rPr>
            </w:pPr>
            <w:r>
              <w:rPr>
                <w:rFonts w:hint="eastAsia" w:ascii="宋体" w:hAnsi="宋体" w:eastAsia="宋体" w:cs="Times New Roman"/>
                <w:color w:val="auto"/>
                <w:kern w:val="2"/>
                <w:sz w:val="21"/>
                <w:szCs w:val="21"/>
                <w:highlight w:val="none"/>
                <w:lang w:eastAsia="zh-CN"/>
              </w:rPr>
              <w:t>出租率达2</w:t>
            </w:r>
            <w:r>
              <w:rPr>
                <w:rFonts w:hint="eastAsia" w:ascii="宋体" w:hAnsi="宋体" w:eastAsia="宋体" w:cs="Times New Roman"/>
                <w:color w:val="auto"/>
                <w:kern w:val="2"/>
                <w:sz w:val="21"/>
                <w:szCs w:val="21"/>
                <w:highlight w:val="none"/>
                <w:lang w:val="en-US" w:eastAsia="zh-CN"/>
              </w:rPr>
              <w:t>0</w:t>
            </w:r>
            <w:r>
              <w:rPr>
                <w:rFonts w:hint="eastAsia" w:ascii="宋体" w:hAnsi="宋体" w:eastAsia="宋体" w:cs="Times New Roman"/>
                <w:color w:val="auto"/>
                <w:kern w:val="2"/>
                <w:sz w:val="21"/>
                <w:szCs w:val="21"/>
                <w:highlight w:val="none"/>
                <w:lang w:eastAsia="zh-CN"/>
              </w:rPr>
              <w:t>%</w:t>
            </w:r>
          </w:p>
        </w:tc>
      </w:tr>
      <w:tr w14:paraId="78953E48">
        <w:tblPrEx>
          <w:tblCellMar>
            <w:top w:w="0" w:type="dxa"/>
            <w:left w:w="0" w:type="dxa"/>
            <w:bottom w:w="0" w:type="dxa"/>
            <w:right w:w="0" w:type="dxa"/>
          </w:tblCellMar>
        </w:tblPrEx>
        <w:trPr>
          <w:trHeight w:val="511" w:hRule="exact"/>
        </w:trPr>
        <w:tc>
          <w:tcPr>
            <w:tcW w:w="4389" w:type="dxa"/>
            <w:tcBorders>
              <w:top w:val="single" w:color="000000" w:sz="4" w:space="0"/>
              <w:left w:val="single" w:color="000000" w:sz="4" w:space="0"/>
              <w:bottom w:val="single" w:color="000000" w:sz="4" w:space="0"/>
              <w:right w:val="single" w:color="000000" w:sz="4" w:space="0"/>
            </w:tcBorders>
            <w:noWrap w:val="0"/>
            <w:vAlign w:val="center"/>
          </w:tcPr>
          <w:p w14:paraId="767A064B">
            <w:pPr>
              <w:pStyle w:val="99"/>
              <w:jc w:val="center"/>
              <w:rPr>
                <w:rFonts w:hint="eastAsia" w:ascii="宋体" w:hAnsi="宋体"/>
                <w:color w:val="auto"/>
                <w:kern w:val="2"/>
                <w:sz w:val="21"/>
                <w:szCs w:val="21"/>
                <w:highlight w:val="none"/>
                <w:lang w:eastAsia="zh-CN"/>
              </w:rPr>
            </w:pPr>
            <w:r>
              <w:rPr>
                <w:rFonts w:ascii="宋体" w:hAnsi="宋体"/>
                <w:color w:val="auto"/>
                <w:kern w:val="2"/>
                <w:sz w:val="21"/>
                <w:szCs w:val="21"/>
                <w:highlight w:val="none"/>
                <w:lang w:eastAsia="zh-CN"/>
              </w:rPr>
              <w:t>至</w:t>
            </w:r>
            <w:r>
              <w:rPr>
                <w:rFonts w:hint="eastAsia" w:ascii="宋体" w:hAnsi="宋体"/>
                <w:color w:val="auto"/>
                <w:kern w:val="2"/>
                <w:sz w:val="21"/>
                <w:szCs w:val="21"/>
                <w:highlight w:val="none"/>
                <w:lang w:eastAsia="zh-CN"/>
              </w:rPr>
              <w:t>X</w:t>
            </w:r>
            <w:r>
              <w:rPr>
                <w:rFonts w:ascii="宋体" w:hAnsi="宋体"/>
                <w:color w:val="auto"/>
                <w:kern w:val="2"/>
                <w:sz w:val="21"/>
                <w:szCs w:val="21"/>
                <w:highlight w:val="none"/>
                <w:lang w:eastAsia="zh-CN"/>
              </w:rPr>
              <w:t>年</w:t>
            </w:r>
            <w:r>
              <w:rPr>
                <w:rFonts w:hint="eastAsia" w:ascii="宋体" w:hAnsi="宋体"/>
                <w:color w:val="auto"/>
                <w:kern w:val="2"/>
                <w:sz w:val="21"/>
                <w:szCs w:val="21"/>
                <w:highlight w:val="none"/>
                <w:lang w:eastAsia="zh-CN"/>
              </w:rPr>
              <w:t>X</w:t>
            </w:r>
            <w:r>
              <w:rPr>
                <w:rFonts w:ascii="宋体" w:hAnsi="宋体"/>
                <w:color w:val="auto"/>
                <w:kern w:val="2"/>
                <w:sz w:val="21"/>
                <w:szCs w:val="21"/>
                <w:highlight w:val="none"/>
                <w:lang w:eastAsia="zh-CN"/>
              </w:rPr>
              <w:t>月底</w:t>
            </w:r>
            <w:r>
              <w:rPr>
                <w:rFonts w:hint="eastAsia" w:ascii="宋体" w:hAnsi="宋体"/>
                <w:color w:val="auto"/>
                <w:kern w:val="2"/>
                <w:sz w:val="21"/>
                <w:szCs w:val="21"/>
                <w:highlight w:val="none"/>
                <w:lang w:eastAsia="zh-CN"/>
              </w:rPr>
              <w:t>（竣工交付后6个月）</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14:paraId="6A48112F">
            <w:pPr>
              <w:pStyle w:val="99"/>
              <w:widowControl/>
              <w:spacing w:after="0"/>
              <w:jc w:val="center"/>
              <w:rPr>
                <w:rFonts w:hint="eastAsia" w:ascii="宋体" w:hAnsi="宋体" w:cs="Times New Roman"/>
                <w:color w:val="auto"/>
                <w:kern w:val="2"/>
                <w:sz w:val="21"/>
                <w:szCs w:val="21"/>
                <w:highlight w:val="none"/>
                <w:lang w:eastAsia="zh-CN"/>
              </w:rPr>
            </w:pPr>
            <w:r>
              <w:rPr>
                <w:rFonts w:hint="eastAsia" w:ascii="宋体" w:hAnsi="宋体" w:eastAsia="宋体" w:cs="Times New Roman"/>
                <w:color w:val="auto"/>
                <w:kern w:val="2"/>
                <w:sz w:val="21"/>
                <w:szCs w:val="21"/>
                <w:highlight w:val="none"/>
                <w:lang w:eastAsia="zh-CN"/>
              </w:rPr>
              <w:t>出租率达45%</w:t>
            </w:r>
          </w:p>
        </w:tc>
      </w:tr>
      <w:tr w14:paraId="51930E04">
        <w:tblPrEx>
          <w:tblCellMar>
            <w:top w:w="0" w:type="dxa"/>
            <w:left w:w="0" w:type="dxa"/>
            <w:bottom w:w="0" w:type="dxa"/>
            <w:right w:w="0" w:type="dxa"/>
          </w:tblCellMar>
        </w:tblPrEx>
        <w:trPr>
          <w:trHeight w:val="511" w:hRule="exact"/>
        </w:trPr>
        <w:tc>
          <w:tcPr>
            <w:tcW w:w="4389" w:type="dxa"/>
            <w:tcBorders>
              <w:top w:val="single" w:color="000000" w:sz="4" w:space="0"/>
              <w:left w:val="single" w:color="000000" w:sz="4" w:space="0"/>
              <w:bottom w:val="single" w:color="000000" w:sz="4" w:space="0"/>
              <w:right w:val="single" w:color="000000" w:sz="4" w:space="0"/>
            </w:tcBorders>
            <w:noWrap w:val="0"/>
            <w:vAlign w:val="center"/>
          </w:tcPr>
          <w:p w14:paraId="13AFF359">
            <w:pPr>
              <w:jc w:val="center"/>
              <w:rPr>
                <w:rFonts w:hint="eastAsia" w:ascii="宋体" w:hAnsi="宋体"/>
                <w:color w:val="auto"/>
                <w:szCs w:val="21"/>
                <w:highlight w:val="none"/>
              </w:rPr>
            </w:pPr>
            <w:r>
              <w:rPr>
                <w:rFonts w:ascii="宋体" w:hAnsi="宋体"/>
                <w:color w:val="auto"/>
                <w:szCs w:val="21"/>
                <w:highlight w:val="none"/>
              </w:rPr>
              <w:t>至</w:t>
            </w:r>
            <w:r>
              <w:rPr>
                <w:rFonts w:hint="eastAsia" w:ascii="宋体" w:hAnsi="宋体"/>
                <w:color w:val="auto"/>
                <w:szCs w:val="21"/>
                <w:highlight w:val="none"/>
              </w:rPr>
              <w:t>X</w:t>
            </w:r>
            <w:r>
              <w:rPr>
                <w:rFonts w:ascii="宋体" w:hAnsi="宋体"/>
                <w:color w:val="auto"/>
                <w:szCs w:val="21"/>
                <w:highlight w:val="none"/>
              </w:rPr>
              <w:t>年</w:t>
            </w:r>
            <w:r>
              <w:rPr>
                <w:rFonts w:hint="eastAsia" w:ascii="宋体" w:hAnsi="宋体"/>
                <w:color w:val="auto"/>
                <w:szCs w:val="21"/>
                <w:highlight w:val="none"/>
              </w:rPr>
              <w:t>X</w:t>
            </w:r>
            <w:r>
              <w:rPr>
                <w:rFonts w:ascii="宋体" w:hAnsi="宋体"/>
                <w:color w:val="auto"/>
                <w:szCs w:val="21"/>
                <w:highlight w:val="none"/>
              </w:rPr>
              <w:t>月底</w:t>
            </w:r>
            <w:r>
              <w:rPr>
                <w:rFonts w:hint="eastAsia" w:ascii="宋体" w:hAnsi="宋体"/>
                <w:color w:val="auto"/>
                <w:szCs w:val="21"/>
                <w:highlight w:val="none"/>
              </w:rPr>
              <w:t>（</w:t>
            </w:r>
            <w:r>
              <w:rPr>
                <w:rFonts w:hint="eastAsia" w:ascii="宋体" w:hAnsi="宋体"/>
                <w:color w:val="auto"/>
                <w:kern w:val="2"/>
                <w:sz w:val="21"/>
                <w:szCs w:val="21"/>
                <w:highlight w:val="none"/>
                <w:lang w:eastAsia="zh-CN"/>
              </w:rPr>
              <w:t>竣工交付</w:t>
            </w:r>
            <w:r>
              <w:rPr>
                <w:rFonts w:hint="eastAsia" w:ascii="宋体" w:hAnsi="宋体"/>
                <w:color w:val="auto"/>
                <w:szCs w:val="21"/>
                <w:highlight w:val="none"/>
                <w:lang w:val="en-US" w:eastAsia="zh-CN"/>
              </w:rPr>
              <w:t>后</w:t>
            </w:r>
            <w:r>
              <w:rPr>
                <w:rFonts w:hint="eastAsia" w:ascii="宋体" w:hAnsi="宋体"/>
                <w:color w:val="auto"/>
                <w:szCs w:val="21"/>
                <w:highlight w:val="none"/>
              </w:rPr>
              <w:t>1</w:t>
            </w:r>
            <w:r>
              <w:rPr>
                <w:rFonts w:ascii="宋体" w:hAnsi="宋体"/>
                <w:color w:val="auto"/>
                <w:szCs w:val="21"/>
                <w:highlight w:val="none"/>
              </w:rPr>
              <w:t>2</w:t>
            </w:r>
            <w:r>
              <w:rPr>
                <w:rFonts w:hint="eastAsia" w:ascii="宋体" w:hAnsi="宋体"/>
                <w:color w:val="auto"/>
                <w:szCs w:val="21"/>
                <w:highlight w:val="none"/>
              </w:rPr>
              <w:t>个月）</w:t>
            </w:r>
          </w:p>
        </w:tc>
        <w:tc>
          <w:tcPr>
            <w:tcW w:w="1529" w:type="dxa"/>
            <w:tcBorders>
              <w:top w:val="single" w:color="000000" w:sz="4" w:space="0"/>
              <w:left w:val="single" w:color="000000" w:sz="4" w:space="0"/>
              <w:bottom w:val="single" w:color="000000" w:sz="4" w:space="0"/>
              <w:right w:val="single" w:color="000000" w:sz="4" w:space="0"/>
            </w:tcBorders>
            <w:noWrap w:val="0"/>
            <w:vAlign w:val="center"/>
          </w:tcPr>
          <w:p w14:paraId="58A7A3F6">
            <w:pPr>
              <w:pStyle w:val="99"/>
              <w:widowControl/>
              <w:spacing w:after="0"/>
              <w:jc w:val="center"/>
              <w:rPr>
                <w:rFonts w:hint="eastAsia" w:ascii="宋体" w:hAnsi="宋体" w:cs="Times New Roman"/>
                <w:color w:val="auto"/>
                <w:kern w:val="2"/>
                <w:sz w:val="21"/>
                <w:szCs w:val="21"/>
                <w:highlight w:val="none"/>
                <w:lang w:eastAsia="zh-CN"/>
              </w:rPr>
            </w:pPr>
            <w:r>
              <w:rPr>
                <w:rFonts w:hint="eastAsia" w:ascii="宋体" w:hAnsi="宋体" w:eastAsia="宋体" w:cs="Times New Roman"/>
                <w:color w:val="auto"/>
                <w:kern w:val="2"/>
                <w:sz w:val="21"/>
                <w:szCs w:val="21"/>
                <w:highlight w:val="none"/>
                <w:lang w:eastAsia="zh-CN"/>
              </w:rPr>
              <w:t>出租率达8</w:t>
            </w:r>
            <w:r>
              <w:rPr>
                <w:rFonts w:hint="eastAsia" w:ascii="宋体" w:hAnsi="宋体" w:eastAsia="宋体" w:cs="Times New Roman"/>
                <w:color w:val="auto"/>
                <w:kern w:val="2"/>
                <w:sz w:val="21"/>
                <w:szCs w:val="21"/>
                <w:highlight w:val="none"/>
                <w:lang w:val="en-US" w:eastAsia="zh-CN"/>
              </w:rPr>
              <w:t>5</w:t>
            </w:r>
            <w:r>
              <w:rPr>
                <w:rFonts w:hint="eastAsia" w:ascii="宋体" w:hAnsi="宋体" w:eastAsia="宋体" w:cs="Times New Roman"/>
                <w:color w:val="auto"/>
                <w:kern w:val="2"/>
                <w:sz w:val="21"/>
                <w:szCs w:val="21"/>
                <w:highlight w:val="none"/>
                <w:lang w:eastAsia="zh-CN"/>
              </w:rPr>
              <w:t>%</w:t>
            </w:r>
          </w:p>
        </w:tc>
      </w:tr>
    </w:tbl>
    <w:p w14:paraId="25473892">
      <w:pPr>
        <w:autoSpaceDE w:val="0"/>
        <w:autoSpaceDN w:val="0"/>
        <w:adjustRightInd w:val="0"/>
        <w:snapToGrid w:val="0"/>
        <w:spacing w:before="93" w:beforeLines="30" w:line="360" w:lineRule="auto"/>
        <w:ind w:left="795"/>
        <w:jc w:val="left"/>
        <w:rPr>
          <w:rFonts w:hint="eastAsia" w:ascii="宋体" w:hAnsi="宋体"/>
          <w:color w:val="auto"/>
          <w:szCs w:val="21"/>
          <w:highlight w:val="none"/>
        </w:rPr>
      </w:pPr>
    </w:p>
    <w:p w14:paraId="59AB4D30">
      <w:pPr>
        <w:autoSpaceDE w:val="0"/>
        <w:autoSpaceDN w:val="0"/>
        <w:adjustRightInd w:val="0"/>
        <w:snapToGrid w:val="0"/>
        <w:spacing w:before="93" w:beforeLines="30" w:line="360" w:lineRule="auto"/>
        <w:ind w:left="795"/>
        <w:jc w:val="left"/>
        <w:rPr>
          <w:rFonts w:hint="eastAsia" w:ascii="宋体" w:hAnsi="宋体"/>
          <w:color w:val="auto"/>
          <w:szCs w:val="21"/>
          <w:highlight w:val="none"/>
        </w:rPr>
      </w:pPr>
    </w:p>
    <w:p w14:paraId="23992272">
      <w:pPr>
        <w:autoSpaceDE w:val="0"/>
        <w:autoSpaceDN w:val="0"/>
        <w:adjustRightInd w:val="0"/>
        <w:snapToGrid w:val="0"/>
        <w:spacing w:before="93" w:beforeLines="30" w:line="360" w:lineRule="auto"/>
        <w:ind w:left="795"/>
        <w:jc w:val="left"/>
        <w:rPr>
          <w:rFonts w:hint="eastAsia" w:ascii="宋体" w:hAnsi="宋体"/>
          <w:color w:val="auto"/>
          <w:szCs w:val="21"/>
          <w:highlight w:val="none"/>
        </w:rPr>
      </w:pPr>
    </w:p>
    <w:p w14:paraId="154652B4">
      <w:pPr>
        <w:autoSpaceDE w:val="0"/>
        <w:autoSpaceDN w:val="0"/>
        <w:adjustRightInd w:val="0"/>
        <w:snapToGrid w:val="0"/>
        <w:spacing w:before="93" w:beforeLines="30" w:line="360" w:lineRule="auto"/>
        <w:ind w:left="795"/>
        <w:jc w:val="left"/>
        <w:rPr>
          <w:rFonts w:hint="eastAsia" w:ascii="宋体" w:hAnsi="宋体"/>
          <w:color w:val="auto"/>
          <w:szCs w:val="21"/>
          <w:highlight w:val="none"/>
        </w:rPr>
      </w:pPr>
    </w:p>
    <w:p w14:paraId="28A45E17">
      <w:pPr>
        <w:autoSpaceDE w:val="0"/>
        <w:autoSpaceDN w:val="0"/>
        <w:adjustRightInd w:val="0"/>
        <w:snapToGrid w:val="0"/>
        <w:spacing w:before="93" w:beforeLines="30" w:line="360" w:lineRule="auto"/>
        <w:ind w:left="795"/>
        <w:jc w:val="left"/>
        <w:rPr>
          <w:rFonts w:hint="eastAsia" w:ascii="宋体" w:hAnsi="宋体"/>
          <w:color w:val="auto"/>
          <w:szCs w:val="21"/>
          <w:highlight w:val="none"/>
        </w:rPr>
      </w:pPr>
    </w:p>
    <w:p w14:paraId="29370D25">
      <w:pPr>
        <w:autoSpaceDE w:val="0"/>
        <w:autoSpaceDN w:val="0"/>
        <w:adjustRightInd w:val="0"/>
        <w:snapToGrid w:val="0"/>
        <w:spacing w:before="93" w:beforeLines="30" w:line="360" w:lineRule="auto"/>
        <w:ind w:left="795"/>
        <w:jc w:val="left"/>
        <w:rPr>
          <w:rFonts w:hint="eastAsia" w:ascii="宋体" w:hAnsi="宋体"/>
          <w:color w:val="auto"/>
          <w:szCs w:val="21"/>
          <w:highlight w:val="none"/>
        </w:rPr>
      </w:pPr>
      <w:r>
        <w:rPr>
          <w:rFonts w:hint="eastAsia" w:ascii="宋体" w:hAnsi="宋体"/>
          <w:color w:val="auto"/>
          <w:szCs w:val="21"/>
          <w:highlight w:val="none"/>
        </w:rPr>
        <w:t>（若以上节点时间工程进度未完成，则各个阶段节点时间相应顺延，各个考核阶段任务指标将对应顺延）</w:t>
      </w:r>
    </w:p>
    <w:p w14:paraId="5EAC7AEA">
      <w:pPr>
        <w:widowControl/>
        <w:tabs>
          <w:tab w:val="left" w:pos="743"/>
        </w:tabs>
        <w:spacing w:line="360" w:lineRule="auto"/>
        <w:ind w:left="743"/>
        <w:rPr>
          <w:rFonts w:hint="eastAsia" w:ascii="宋体" w:hAnsi="宋体" w:cs="宋体"/>
          <w:color w:val="auto"/>
          <w:kern w:val="0"/>
          <w:sz w:val="16"/>
          <w:highlight w:val="none"/>
        </w:rPr>
      </w:pPr>
      <w:r>
        <w:rPr>
          <w:rFonts w:ascii="宋体" w:hAnsi="宋体" w:cs="宋体"/>
          <w:color w:val="auto"/>
          <w:kern w:val="0"/>
          <w:sz w:val="16"/>
          <w:highlight w:val="none"/>
        </w:rPr>
        <w:t>注：</w:t>
      </w:r>
      <w:r>
        <w:rPr>
          <w:rFonts w:hint="eastAsia" w:ascii="宋体" w:hAnsi="宋体" w:cs="宋体"/>
          <w:color w:val="auto"/>
          <w:kern w:val="0"/>
          <w:sz w:val="16"/>
          <w:highlight w:val="none"/>
        </w:rPr>
        <w:t>各进度节点结束后，首席代理、一般代理均纳入首席代理考核指标，计入出租率</w:t>
      </w:r>
      <w:r>
        <w:rPr>
          <w:rFonts w:hint="eastAsia" w:ascii="宋体" w:hAnsi="宋体" w:cs="宋体"/>
          <w:color w:val="auto"/>
          <w:kern w:val="0"/>
          <w:sz w:val="16"/>
          <w:highlight w:val="none"/>
          <w:lang w:eastAsia="zh-CN"/>
        </w:rPr>
        <w:t>（甲方自留办公租赁面积不计入考核），出租率=首席代理及一般代理出租面积/授权代理办公租赁面积</w:t>
      </w:r>
      <w:r>
        <w:rPr>
          <w:rFonts w:hint="eastAsia" w:ascii="宋体" w:hAnsi="宋体" w:cs="宋体"/>
          <w:color w:val="auto"/>
          <w:kern w:val="0"/>
          <w:sz w:val="16"/>
          <w:highlight w:val="none"/>
        </w:rPr>
        <w:t>；如下一阶段累计出租率达到考核任务，上一阶段也视为完成考核任务，相关奖励予以补发。</w:t>
      </w:r>
    </w:p>
    <w:p w14:paraId="5F23ECDC">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85" w:name="_Toc7590"/>
      <w:bookmarkStart w:id="486" w:name="_Toc459571394"/>
      <w:bookmarkStart w:id="487" w:name="_Toc219170990"/>
      <w:r>
        <w:rPr>
          <w:rFonts w:hint="eastAsia" w:ascii="宋体" w:hAnsi="宋体" w:eastAsia="宋体"/>
          <w:color w:val="auto"/>
          <w:sz w:val="24"/>
          <w:szCs w:val="24"/>
          <w:highlight w:val="none"/>
        </w:rPr>
        <w:t>法律责任</w:t>
      </w:r>
      <w:bookmarkEnd w:id="485"/>
      <w:bookmarkEnd w:id="486"/>
      <w:bookmarkEnd w:id="487"/>
    </w:p>
    <w:p w14:paraId="34596C52">
      <w:pPr>
        <w:numPr>
          <w:ilvl w:val="1"/>
          <w:numId w:val="15"/>
        </w:numPr>
        <w:autoSpaceDE w:val="0"/>
        <w:autoSpaceDN w:val="0"/>
        <w:adjustRightInd w:val="0"/>
        <w:snapToGrid w:val="0"/>
        <w:spacing w:before="93" w:beforeLines="30" w:line="360" w:lineRule="auto"/>
        <w:ind w:hanging="487"/>
        <w:jc w:val="left"/>
        <w:rPr>
          <w:rFonts w:hint="eastAsia" w:ascii="宋体" w:hAnsi="宋体"/>
          <w:color w:val="auto"/>
          <w:kern w:val="0"/>
          <w:szCs w:val="21"/>
          <w:highlight w:val="none"/>
        </w:rPr>
      </w:pPr>
      <w:r>
        <w:rPr>
          <w:rFonts w:hint="eastAsia" w:ascii="宋体" w:hAnsi="宋体"/>
          <w:color w:val="auto"/>
          <w:kern w:val="0"/>
          <w:szCs w:val="21"/>
          <w:highlight w:val="none"/>
        </w:rPr>
        <w:t>任何一方违反本合同的任何条款，守约方有权以书面通知要求违约方纠正其违约行为并采取充分、有效、及时的措施消除违约后果并赔偿守约方因违约行为而遭致的损失。</w:t>
      </w:r>
    </w:p>
    <w:p w14:paraId="36FD884F">
      <w:pPr>
        <w:numPr>
          <w:ilvl w:val="1"/>
          <w:numId w:val="15"/>
        </w:numPr>
        <w:autoSpaceDE w:val="0"/>
        <w:autoSpaceDN w:val="0"/>
        <w:adjustRightInd w:val="0"/>
        <w:snapToGrid w:val="0"/>
        <w:spacing w:before="93" w:beforeLines="30" w:line="360" w:lineRule="auto"/>
        <w:ind w:hanging="487"/>
        <w:jc w:val="left"/>
        <w:rPr>
          <w:rFonts w:hint="eastAsia" w:ascii="宋体" w:hAnsi="宋体"/>
          <w:color w:val="auto"/>
          <w:kern w:val="0"/>
          <w:szCs w:val="21"/>
          <w:highlight w:val="none"/>
        </w:rPr>
      </w:pPr>
      <w:r>
        <w:rPr>
          <w:rFonts w:hint="eastAsia" w:ascii="宋体" w:hAnsi="宋体"/>
          <w:color w:val="auto"/>
          <w:kern w:val="0"/>
          <w:szCs w:val="21"/>
          <w:highlight w:val="none"/>
          <w:lang w:val="en-US" w:eastAsia="zh-CN"/>
        </w:rPr>
        <w:t>除本合同另有约定外，</w:t>
      </w:r>
      <w:r>
        <w:rPr>
          <w:rFonts w:hint="eastAsia" w:ascii="宋体" w:hAnsi="宋体"/>
          <w:color w:val="auto"/>
          <w:kern w:val="0"/>
          <w:szCs w:val="21"/>
          <w:highlight w:val="none"/>
        </w:rPr>
        <w:t>违约方因违约行为而应赔偿守约方的损失只包括守约方因违约方的违约行为而遭受的直接经济损失。</w:t>
      </w:r>
    </w:p>
    <w:p w14:paraId="45000262">
      <w:pPr>
        <w:numPr>
          <w:ilvl w:val="1"/>
          <w:numId w:val="15"/>
        </w:numPr>
        <w:autoSpaceDE w:val="0"/>
        <w:autoSpaceDN w:val="0"/>
        <w:adjustRightInd w:val="0"/>
        <w:snapToGrid w:val="0"/>
        <w:spacing w:before="93" w:beforeLines="30" w:line="360" w:lineRule="auto"/>
        <w:ind w:hanging="487"/>
        <w:jc w:val="left"/>
        <w:rPr>
          <w:rFonts w:hint="eastAsia" w:ascii="宋体" w:hAnsi="宋体"/>
          <w:color w:val="auto"/>
          <w:kern w:val="0"/>
          <w:szCs w:val="21"/>
          <w:highlight w:val="none"/>
        </w:rPr>
      </w:pPr>
      <w:r>
        <w:rPr>
          <w:rFonts w:hint="eastAsia" w:ascii="宋体" w:hAnsi="宋体"/>
          <w:color w:val="auto"/>
          <w:kern w:val="0"/>
          <w:szCs w:val="21"/>
          <w:highlight w:val="none"/>
        </w:rPr>
        <w:t>因遇不可抗力因素（如自然灾害、战争等），而影响工作进度或合同执行，双方可视客观情况协商确定是否免除或部分免除各方责任，或延期执行合同。</w:t>
      </w:r>
    </w:p>
    <w:p w14:paraId="62A4F51B">
      <w:pPr>
        <w:numPr>
          <w:ilvl w:val="1"/>
          <w:numId w:val="15"/>
        </w:numPr>
        <w:autoSpaceDE w:val="0"/>
        <w:autoSpaceDN w:val="0"/>
        <w:adjustRightInd w:val="0"/>
        <w:snapToGrid w:val="0"/>
        <w:spacing w:before="93" w:beforeLines="30" w:line="360" w:lineRule="auto"/>
        <w:ind w:hanging="487"/>
        <w:jc w:val="left"/>
        <w:rPr>
          <w:rFonts w:hint="eastAsia" w:ascii="宋体" w:hAnsi="宋体"/>
          <w:color w:val="auto"/>
          <w:kern w:val="0"/>
          <w:szCs w:val="21"/>
          <w:highlight w:val="none"/>
        </w:rPr>
      </w:pPr>
      <w:r>
        <w:rPr>
          <w:rFonts w:hint="eastAsia" w:ascii="宋体" w:hAnsi="宋体"/>
          <w:color w:val="auto"/>
          <w:kern w:val="0"/>
          <w:szCs w:val="21"/>
          <w:highlight w:val="none"/>
        </w:rPr>
        <w:t>本合同条款的订立、履行、解释及争议均适用于中华人民共和国法律。甲乙双方于委托期内如发生争议，应本着友好的态度协商解决。如遇协商解决不成的，任何一方可向</w:t>
      </w:r>
      <w:r>
        <w:rPr>
          <w:rFonts w:hint="eastAsia" w:ascii="宋体" w:hAnsi="宋体"/>
          <w:color w:val="auto"/>
          <w:kern w:val="0"/>
          <w:szCs w:val="21"/>
          <w:highlight w:val="none"/>
          <w:lang w:val="en-US" w:eastAsia="zh-CN"/>
        </w:rPr>
        <w:t>甲方所在地有管辖权的人民法院提起诉讼</w:t>
      </w:r>
      <w:r>
        <w:rPr>
          <w:rFonts w:hint="eastAsia" w:ascii="宋体" w:hAnsi="宋体"/>
          <w:color w:val="auto"/>
          <w:kern w:val="0"/>
          <w:szCs w:val="21"/>
          <w:highlight w:val="none"/>
        </w:rPr>
        <w:t>。</w:t>
      </w:r>
    </w:p>
    <w:p w14:paraId="05E1BDAF">
      <w:pPr>
        <w:numPr>
          <w:ilvl w:val="1"/>
          <w:numId w:val="15"/>
        </w:numPr>
        <w:autoSpaceDE w:val="0"/>
        <w:autoSpaceDN w:val="0"/>
        <w:adjustRightInd w:val="0"/>
        <w:snapToGrid w:val="0"/>
        <w:spacing w:before="93" w:beforeLines="30" w:line="360" w:lineRule="auto"/>
        <w:ind w:hanging="487"/>
        <w:jc w:val="left"/>
        <w:rPr>
          <w:rFonts w:hint="eastAsia" w:ascii="宋体" w:hAnsi="宋体"/>
          <w:color w:val="auto"/>
          <w:kern w:val="0"/>
          <w:szCs w:val="21"/>
          <w:highlight w:val="none"/>
        </w:rPr>
      </w:pPr>
      <w:r>
        <w:rPr>
          <w:rFonts w:hint="eastAsia" w:ascii="宋体" w:hAnsi="宋体"/>
          <w:color w:val="auto"/>
          <w:kern w:val="0"/>
          <w:szCs w:val="21"/>
          <w:highlight w:val="none"/>
        </w:rPr>
        <w:t>本合同规定之本项目甲乙双方负责人签收本</w:t>
      </w:r>
      <w:r>
        <w:rPr>
          <w:rFonts w:hint="eastAsia" w:ascii="宋体" w:hAnsi="宋体"/>
          <w:color w:val="auto"/>
          <w:kern w:val="0"/>
          <w:szCs w:val="21"/>
          <w:highlight w:val="none"/>
          <w:lang w:val="en-US" w:eastAsia="zh-CN"/>
        </w:rPr>
        <w:t>合同</w:t>
      </w:r>
      <w:r>
        <w:rPr>
          <w:rFonts w:hint="eastAsia" w:ascii="宋体" w:hAnsi="宋体"/>
          <w:color w:val="auto"/>
          <w:kern w:val="0"/>
          <w:szCs w:val="21"/>
          <w:highlight w:val="none"/>
        </w:rPr>
        <w:t>项下相关文件的行为与其所代表的公司盖章签收行为具有同等法律效力，至对接人的送达视为对其所代表公司的送达。</w:t>
      </w:r>
    </w:p>
    <w:p w14:paraId="02847D96">
      <w:pPr>
        <w:numPr>
          <w:ilvl w:val="1"/>
          <w:numId w:val="15"/>
        </w:numPr>
        <w:autoSpaceDE w:val="0"/>
        <w:autoSpaceDN w:val="0"/>
        <w:adjustRightInd w:val="0"/>
        <w:snapToGrid w:val="0"/>
        <w:spacing w:before="93" w:beforeLines="30" w:line="360" w:lineRule="auto"/>
        <w:ind w:hanging="487"/>
        <w:jc w:val="left"/>
        <w:rPr>
          <w:rFonts w:hint="eastAsia" w:ascii="宋体" w:hAnsi="宋体"/>
          <w:color w:val="auto"/>
          <w:kern w:val="0"/>
          <w:szCs w:val="21"/>
          <w:highlight w:val="none"/>
        </w:rPr>
      </w:pPr>
      <w:r>
        <w:rPr>
          <w:rFonts w:hint="eastAsia" w:ascii="宋体" w:hAnsi="宋体"/>
          <w:color w:val="auto"/>
          <w:kern w:val="0"/>
          <w:szCs w:val="21"/>
          <w:highlight w:val="none"/>
        </w:rPr>
        <w:t>有效文件形式、送达方式与地点：本合同约定之相关文件有效形式为文本文件；送达方式为“专人送达、EMS”；约定送达地点为本合约定之法定地址。</w:t>
      </w:r>
    </w:p>
    <w:p w14:paraId="281B67E1">
      <w:pPr>
        <w:pStyle w:val="3"/>
        <w:numPr>
          <w:ilvl w:val="3"/>
          <w:numId w:val="1"/>
        </w:numPr>
        <w:tabs>
          <w:tab w:val="left" w:pos="360"/>
        </w:tabs>
        <w:spacing w:before="93" w:beforeLines="30" w:after="0" w:line="360" w:lineRule="auto"/>
        <w:ind w:left="1" w:leftChars="-67" w:hanging="142" w:hangingChars="59"/>
        <w:rPr>
          <w:rFonts w:hint="eastAsia" w:ascii="宋体" w:hAnsi="宋体" w:eastAsia="宋体"/>
          <w:color w:val="auto"/>
          <w:sz w:val="24"/>
          <w:szCs w:val="24"/>
          <w:highlight w:val="none"/>
        </w:rPr>
      </w:pPr>
      <w:bookmarkStart w:id="488" w:name="_Toc19199"/>
      <w:bookmarkStart w:id="489" w:name="_Toc459571395"/>
      <w:bookmarkStart w:id="490" w:name="_Toc219170991"/>
      <w:r>
        <w:rPr>
          <w:rFonts w:hint="eastAsia" w:ascii="宋体" w:hAnsi="宋体" w:eastAsia="宋体"/>
          <w:color w:val="auto"/>
          <w:sz w:val="24"/>
          <w:szCs w:val="24"/>
          <w:highlight w:val="none"/>
        </w:rPr>
        <w:t>合同生效及其他</w:t>
      </w:r>
      <w:bookmarkEnd w:id="488"/>
      <w:bookmarkEnd w:id="489"/>
      <w:bookmarkEnd w:id="490"/>
    </w:p>
    <w:p w14:paraId="40A02EBA">
      <w:pPr>
        <w:numPr>
          <w:ilvl w:val="1"/>
          <w:numId w:val="16"/>
        </w:numPr>
        <w:autoSpaceDE w:val="0"/>
        <w:autoSpaceDN w:val="0"/>
        <w:adjustRightInd w:val="0"/>
        <w:snapToGrid w:val="0"/>
        <w:spacing w:before="93" w:beforeLines="30" w:line="360" w:lineRule="auto"/>
        <w:ind w:hanging="515"/>
        <w:jc w:val="left"/>
        <w:rPr>
          <w:rFonts w:hint="eastAsia" w:ascii="宋体" w:hAnsi="宋体"/>
          <w:color w:val="auto"/>
          <w:kern w:val="0"/>
          <w:szCs w:val="21"/>
          <w:highlight w:val="none"/>
        </w:rPr>
      </w:pPr>
      <w:r>
        <w:rPr>
          <w:rFonts w:hint="eastAsia" w:ascii="宋体" w:hAnsi="宋体"/>
          <w:color w:val="auto"/>
          <w:kern w:val="0"/>
          <w:szCs w:val="21"/>
          <w:highlight w:val="none"/>
        </w:rPr>
        <w:t>本合同于双方法定代表人或授权代表签字并加盖公司公章之日起生效。</w:t>
      </w:r>
    </w:p>
    <w:p w14:paraId="3ED4FFFC">
      <w:pPr>
        <w:numPr>
          <w:ilvl w:val="1"/>
          <w:numId w:val="16"/>
        </w:numPr>
        <w:autoSpaceDE w:val="0"/>
        <w:autoSpaceDN w:val="0"/>
        <w:adjustRightInd w:val="0"/>
        <w:snapToGrid w:val="0"/>
        <w:spacing w:before="93" w:beforeLines="30" w:line="360" w:lineRule="auto"/>
        <w:ind w:hanging="515"/>
        <w:jc w:val="left"/>
        <w:rPr>
          <w:rFonts w:hint="eastAsia" w:ascii="宋体" w:hAnsi="宋体"/>
          <w:color w:val="auto"/>
          <w:kern w:val="0"/>
          <w:szCs w:val="21"/>
          <w:highlight w:val="none"/>
        </w:rPr>
      </w:pPr>
      <w:r>
        <w:rPr>
          <w:rFonts w:hint="eastAsia" w:ascii="宋体" w:hAnsi="宋体"/>
          <w:color w:val="auto"/>
          <w:kern w:val="0"/>
          <w:szCs w:val="21"/>
          <w:highlight w:val="none"/>
        </w:rPr>
        <w:t>本合同一式</w:t>
      </w:r>
      <w:r>
        <w:rPr>
          <w:rFonts w:hint="eastAsia" w:ascii="宋体" w:hAnsi="宋体"/>
          <w:color w:val="auto"/>
          <w:kern w:val="0"/>
          <w:szCs w:val="21"/>
          <w:highlight w:val="none"/>
          <w:lang w:val="en-US" w:eastAsia="zh-CN"/>
        </w:rPr>
        <w:t>捌</w:t>
      </w:r>
      <w:r>
        <w:rPr>
          <w:rFonts w:hint="eastAsia" w:ascii="宋体" w:hAnsi="宋体"/>
          <w:color w:val="auto"/>
          <w:kern w:val="0"/>
          <w:szCs w:val="21"/>
          <w:highlight w:val="none"/>
        </w:rPr>
        <w:t>份，甲</w:t>
      </w:r>
      <w:r>
        <w:rPr>
          <w:rFonts w:hint="eastAsia" w:ascii="宋体" w:hAnsi="宋体"/>
          <w:color w:val="auto"/>
          <w:kern w:val="0"/>
          <w:szCs w:val="21"/>
          <w:highlight w:val="none"/>
          <w:lang w:val="en-US" w:eastAsia="zh-CN"/>
        </w:rPr>
        <w:t>方持陆份，</w:t>
      </w:r>
      <w:r>
        <w:rPr>
          <w:rFonts w:hint="eastAsia" w:ascii="宋体" w:hAnsi="宋体"/>
          <w:color w:val="auto"/>
          <w:kern w:val="0"/>
          <w:szCs w:val="21"/>
          <w:highlight w:val="none"/>
        </w:rPr>
        <w:t>乙方持贰份，</w:t>
      </w:r>
      <w:r>
        <w:rPr>
          <w:rFonts w:hint="eastAsia" w:ascii="宋体" w:hAnsi="宋体"/>
          <w:color w:val="auto"/>
          <w:kern w:val="0"/>
          <w:szCs w:val="21"/>
          <w:highlight w:val="none"/>
          <w:lang w:val="en-US" w:eastAsia="zh-CN"/>
        </w:rPr>
        <w:t>各份均</w:t>
      </w:r>
      <w:r>
        <w:rPr>
          <w:rFonts w:hint="eastAsia" w:ascii="宋体" w:hAnsi="宋体"/>
          <w:color w:val="auto"/>
          <w:kern w:val="0"/>
          <w:szCs w:val="21"/>
          <w:highlight w:val="none"/>
        </w:rPr>
        <w:t>具有同等法律效力。</w:t>
      </w:r>
    </w:p>
    <w:p w14:paraId="3C157993">
      <w:pPr>
        <w:numPr>
          <w:ilvl w:val="1"/>
          <w:numId w:val="16"/>
        </w:numPr>
        <w:autoSpaceDE w:val="0"/>
        <w:autoSpaceDN w:val="0"/>
        <w:adjustRightInd w:val="0"/>
        <w:snapToGrid w:val="0"/>
        <w:spacing w:before="93" w:beforeLines="30" w:line="360" w:lineRule="auto"/>
        <w:ind w:hanging="515" w:firstLineChars="0"/>
        <w:jc w:val="left"/>
        <w:rPr>
          <w:rFonts w:hint="eastAsia" w:ascii="宋体" w:hAnsi="宋体"/>
          <w:bCs/>
          <w:color w:val="auto"/>
          <w:szCs w:val="21"/>
          <w:highlight w:val="none"/>
        </w:rPr>
      </w:pPr>
      <w:r>
        <w:rPr>
          <w:rFonts w:hint="eastAsia" w:ascii="宋体" w:hAnsi="宋体"/>
          <w:color w:val="auto"/>
          <w:kern w:val="0"/>
          <w:szCs w:val="21"/>
          <w:highlight w:val="none"/>
        </w:rPr>
        <w:t>本合同未尽事宜，甲乙双方可另行签订补充协议，所签订之补充协议为本合同不可分割的组成部分</w:t>
      </w:r>
      <w:r>
        <w:rPr>
          <w:rFonts w:hint="eastAsia" w:ascii="宋体" w:hAnsi="宋体"/>
          <w:color w:val="auto"/>
          <w:kern w:val="0"/>
          <w:szCs w:val="21"/>
          <w:highlight w:val="none"/>
          <w:lang w:eastAsia="zh-CN"/>
        </w:rPr>
        <w:t>，</w:t>
      </w:r>
      <w:r>
        <w:rPr>
          <w:rFonts w:hint="eastAsia" w:ascii="宋体" w:hAnsi="宋体"/>
          <w:color w:val="auto"/>
          <w:kern w:val="0"/>
          <w:szCs w:val="21"/>
          <w:highlight w:val="none"/>
          <w:lang w:val="en-US" w:eastAsia="zh-CN"/>
        </w:rPr>
        <w:t>与本合同具有同等法律效力</w:t>
      </w:r>
      <w:r>
        <w:rPr>
          <w:rFonts w:hint="eastAsia" w:ascii="宋体" w:hAnsi="宋体"/>
          <w:color w:val="auto"/>
          <w:kern w:val="0"/>
          <w:szCs w:val="21"/>
          <w:highlight w:val="none"/>
        </w:rPr>
        <w:t>。</w:t>
      </w:r>
    </w:p>
    <w:p w14:paraId="0CA4368D">
      <w:pPr>
        <w:spacing w:before="93" w:beforeLines="30" w:line="360" w:lineRule="auto"/>
        <w:ind w:firstLine="210" w:firstLineChars="100"/>
        <w:rPr>
          <w:rFonts w:hint="eastAsia" w:ascii="宋体" w:hAnsi="宋体"/>
          <w:bCs/>
          <w:color w:val="auto"/>
          <w:szCs w:val="21"/>
          <w:highlight w:val="none"/>
        </w:rPr>
      </w:pPr>
      <w:r>
        <w:rPr>
          <w:rFonts w:hint="eastAsia" w:ascii="宋体" w:hAnsi="宋体"/>
          <w:bCs/>
          <w:color w:val="auto"/>
          <w:szCs w:val="21"/>
          <w:highlight w:val="none"/>
        </w:rPr>
        <w:t>（此页无正文）</w:t>
      </w:r>
    </w:p>
    <w:p w14:paraId="4246276C">
      <w:pPr>
        <w:spacing w:before="93" w:beforeLines="30" w:line="360" w:lineRule="auto"/>
        <w:ind w:firstLine="210" w:firstLineChars="100"/>
        <w:rPr>
          <w:rFonts w:hint="eastAsia" w:ascii="宋体" w:hAnsi="宋体"/>
          <w:bCs/>
          <w:color w:val="auto"/>
          <w:szCs w:val="21"/>
          <w:highlight w:val="none"/>
        </w:rPr>
      </w:pPr>
    </w:p>
    <w:p w14:paraId="6A240BC9">
      <w:pPr>
        <w:spacing w:before="93" w:beforeLines="30" w:line="360" w:lineRule="auto"/>
        <w:ind w:firstLine="210" w:firstLineChars="100"/>
        <w:rPr>
          <w:rFonts w:hint="eastAsia" w:ascii="宋体" w:hAnsi="宋体"/>
          <w:bCs/>
          <w:color w:val="auto"/>
          <w:szCs w:val="21"/>
          <w:highlight w:val="none"/>
        </w:rPr>
      </w:pPr>
    </w:p>
    <w:p w14:paraId="287A9F80">
      <w:pPr>
        <w:spacing w:before="93" w:beforeLines="30" w:line="360" w:lineRule="auto"/>
        <w:ind w:firstLine="210" w:firstLineChars="100"/>
        <w:rPr>
          <w:rFonts w:hint="eastAsia" w:ascii="宋体" w:hAnsi="宋体"/>
          <w:bCs/>
          <w:color w:val="auto"/>
          <w:szCs w:val="21"/>
          <w:highlight w:val="none"/>
        </w:rPr>
      </w:pPr>
    </w:p>
    <w:p w14:paraId="646ECFFB">
      <w:pPr>
        <w:spacing w:line="360" w:lineRule="auto"/>
        <w:jc w:val="left"/>
        <w:rPr>
          <w:rFonts w:hint="eastAsia" w:ascii="宋体" w:hAnsi="宋体"/>
          <w:color w:val="auto"/>
          <w:szCs w:val="21"/>
          <w:highlight w:val="none"/>
        </w:rPr>
      </w:pPr>
      <w:r>
        <w:rPr>
          <w:rFonts w:hint="eastAsia" w:ascii="宋体" w:hAnsi="宋体"/>
          <w:color w:val="auto"/>
          <w:szCs w:val="21"/>
          <w:highlight w:val="none"/>
        </w:rPr>
        <w:t>甲方</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盖章</w:t>
      </w:r>
      <w:r>
        <w:rPr>
          <w:rFonts w:hint="eastAsia" w:ascii="宋体" w:hAnsi="宋体"/>
          <w:color w:val="auto"/>
          <w:szCs w:val="21"/>
          <w:highlight w:val="none"/>
          <w:lang w:eastAsia="zh-CN"/>
        </w:rPr>
        <w:t>）</w:t>
      </w:r>
      <w:r>
        <w:rPr>
          <w:rFonts w:hint="eastAsia" w:ascii="宋体" w:hAnsi="宋体"/>
          <w:color w:val="auto"/>
          <w:szCs w:val="21"/>
          <w:highlight w:val="none"/>
        </w:rPr>
        <w:t>：</w:t>
      </w:r>
      <w:r>
        <w:rPr>
          <w:rFonts w:hint="eastAsia" w:ascii="宋体" w:hAnsi="宋体"/>
          <w:color w:val="auto"/>
          <w:szCs w:val="21"/>
          <w:highlight w:val="none"/>
          <w:u w:val="single"/>
          <w:lang w:eastAsia="zh-CN"/>
        </w:rPr>
        <w:t>广东南传广场开发有限公司</w:t>
      </w:r>
    </w:p>
    <w:p w14:paraId="6456B56C">
      <w:pPr>
        <w:spacing w:line="360" w:lineRule="auto"/>
        <w:jc w:val="left"/>
        <w:rPr>
          <w:rFonts w:hint="eastAsia" w:ascii="宋体" w:hAnsi="宋体"/>
          <w:color w:val="auto"/>
          <w:szCs w:val="21"/>
          <w:highlight w:val="none"/>
        </w:rPr>
      </w:pPr>
      <w:r>
        <w:rPr>
          <w:rFonts w:hint="eastAsia" w:ascii="宋体" w:hAnsi="宋体"/>
          <w:color w:val="auto"/>
          <w:szCs w:val="21"/>
          <w:highlight w:val="none"/>
        </w:rPr>
        <w:t>法定代表人或授权代表人</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签字/签章</w:t>
      </w:r>
      <w:r>
        <w:rPr>
          <w:rFonts w:hint="eastAsia" w:ascii="宋体" w:hAnsi="宋体"/>
          <w:color w:val="auto"/>
          <w:szCs w:val="21"/>
          <w:highlight w:val="none"/>
          <w:lang w:eastAsia="zh-CN"/>
        </w:rPr>
        <w:t>）</w:t>
      </w:r>
      <w:r>
        <w:rPr>
          <w:rFonts w:hint="eastAsia" w:ascii="宋体" w:hAnsi="宋体"/>
          <w:color w:val="auto"/>
          <w:szCs w:val="21"/>
          <w:highlight w:val="none"/>
        </w:rPr>
        <w:t>：</w:t>
      </w:r>
    </w:p>
    <w:p w14:paraId="36321992">
      <w:pPr>
        <w:spacing w:line="360" w:lineRule="auto"/>
        <w:jc w:val="left"/>
        <w:rPr>
          <w:rFonts w:hint="eastAsia" w:ascii="宋体" w:hAnsi="宋体"/>
          <w:color w:val="auto"/>
          <w:szCs w:val="21"/>
          <w:highlight w:val="none"/>
        </w:rPr>
      </w:pPr>
      <w:r>
        <w:rPr>
          <w:rFonts w:hint="eastAsia" w:ascii="宋体" w:hAnsi="宋体"/>
          <w:color w:val="auto"/>
          <w:szCs w:val="21"/>
          <w:highlight w:val="none"/>
        </w:rPr>
        <w:t>签约时间：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771FFC17">
      <w:pPr>
        <w:spacing w:line="360" w:lineRule="auto"/>
        <w:jc w:val="left"/>
        <w:rPr>
          <w:rFonts w:hint="eastAsia" w:ascii="宋体" w:hAnsi="宋体"/>
          <w:color w:val="auto"/>
          <w:szCs w:val="21"/>
          <w:highlight w:val="none"/>
        </w:rPr>
      </w:pPr>
    </w:p>
    <w:p w14:paraId="0C0BE433">
      <w:pPr>
        <w:spacing w:line="360" w:lineRule="auto"/>
        <w:jc w:val="left"/>
        <w:rPr>
          <w:rFonts w:hint="eastAsia" w:ascii="宋体" w:hAnsi="宋体"/>
          <w:color w:val="auto"/>
          <w:szCs w:val="21"/>
          <w:highlight w:val="none"/>
        </w:rPr>
      </w:pPr>
    </w:p>
    <w:p w14:paraId="4362634C">
      <w:pPr>
        <w:spacing w:line="360" w:lineRule="auto"/>
        <w:jc w:val="left"/>
        <w:rPr>
          <w:rFonts w:hint="eastAsia" w:ascii="宋体" w:hAnsi="宋体"/>
          <w:color w:val="auto"/>
          <w:szCs w:val="21"/>
          <w:highlight w:val="none"/>
        </w:rPr>
      </w:pPr>
    </w:p>
    <w:p w14:paraId="1AD9B1CF">
      <w:pPr>
        <w:spacing w:line="360" w:lineRule="auto"/>
        <w:jc w:val="left"/>
        <w:rPr>
          <w:rFonts w:hint="eastAsia" w:ascii="宋体" w:hAnsi="宋体"/>
          <w:color w:val="auto"/>
          <w:szCs w:val="21"/>
          <w:highlight w:val="none"/>
        </w:rPr>
      </w:pPr>
      <w:r>
        <w:rPr>
          <w:rFonts w:hint="eastAsia" w:ascii="宋体" w:hAnsi="宋体"/>
          <w:color w:val="auto"/>
          <w:szCs w:val="21"/>
          <w:highlight w:val="none"/>
        </w:rPr>
        <w:t>乙方</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盖章</w:t>
      </w:r>
      <w:r>
        <w:rPr>
          <w:rFonts w:hint="eastAsia" w:ascii="宋体" w:hAnsi="宋体"/>
          <w:color w:val="auto"/>
          <w:szCs w:val="21"/>
          <w:highlight w:val="none"/>
          <w:lang w:eastAsia="zh-CN"/>
        </w:rPr>
        <w:t>）</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14:paraId="15FDBA5F">
      <w:pPr>
        <w:spacing w:line="360" w:lineRule="auto"/>
        <w:jc w:val="left"/>
        <w:rPr>
          <w:rFonts w:hint="eastAsia" w:ascii="宋体" w:hAnsi="宋体"/>
          <w:color w:val="auto"/>
          <w:szCs w:val="21"/>
          <w:highlight w:val="none"/>
        </w:rPr>
      </w:pPr>
      <w:r>
        <w:rPr>
          <w:rFonts w:hint="eastAsia" w:ascii="宋体" w:hAnsi="宋体"/>
          <w:color w:val="auto"/>
          <w:szCs w:val="21"/>
          <w:highlight w:val="none"/>
        </w:rPr>
        <w:t>法定代表人或授权代表人</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签字/签章</w:t>
      </w:r>
      <w:r>
        <w:rPr>
          <w:rFonts w:hint="eastAsia" w:ascii="宋体" w:hAnsi="宋体"/>
          <w:color w:val="auto"/>
          <w:szCs w:val="21"/>
          <w:highlight w:val="none"/>
          <w:lang w:eastAsia="zh-CN"/>
        </w:rPr>
        <w:t>）</w:t>
      </w:r>
      <w:r>
        <w:rPr>
          <w:rFonts w:hint="eastAsia" w:ascii="宋体" w:hAnsi="宋体"/>
          <w:color w:val="auto"/>
          <w:szCs w:val="21"/>
          <w:highlight w:val="none"/>
        </w:rPr>
        <w:t>：</w:t>
      </w:r>
    </w:p>
    <w:p w14:paraId="382E267C">
      <w:pPr>
        <w:spacing w:line="360" w:lineRule="auto"/>
        <w:rPr>
          <w:rFonts w:hint="eastAsia" w:ascii="宋体" w:hAnsi="宋体"/>
          <w:color w:val="auto"/>
          <w:highlight w:val="none"/>
        </w:rPr>
      </w:pPr>
      <w:r>
        <w:rPr>
          <w:rFonts w:hint="eastAsia" w:ascii="宋体" w:hAnsi="宋体"/>
          <w:color w:val="auto"/>
          <w:szCs w:val="21"/>
          <w:highlight w:val="none"/>
        </w:rPr>
        <w:t>签约时间：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1F6DBE54">
      <w:pPr>
        <w:pStyle w:val="3"/>
        <w:pageBreakBefore/>
        <w:spacing w:before="93" w:beforeLines="30" w:after="0" w:line="360" w:lineRule="auto"/>
        <w:rPr>
          <w:rFonts w:hint="eastAsia" w:ascii="宋体" w:hAnsi="宋体" w:eastAsia="宋体"/>
          <w:color w:val="auto"/>
          <w:sz w:val="21"/>
          <w:szCs w:val="24"/>
          <w:highlight w:val="none"/>
        </w:rPr>
      </w:pPr>
      <w:bookmarkStart w:id="491" w:name="_Toc5268"/>
      <w:r>
        <w:rPr>
          <w:rFonts w:hint="eastAsia" w:ascii="宋体" w:hAnsi="宋体" w:eastAsia="宋体"/>
          <w:color w:val="auto"/>
          <w:sz w:val="21"/>
          <w:szCs w:val="24"/>
          <w:highlight w:val="none"/>
        </w:rPr>
        <w:t>合同附件一：租赁面积表</w:t>
      </w:r>
      <w:bookmarkEnd w:id="491"/>
    </w:p>
    <w:p w14:paraId="1F78CA54">
      <w:pPr>
        <w:jc w:val="center"/>
        <w:rPr>
          <w:rFonts w:hint="default" w:ascii="Times New Roman" w:hAnsi="Times New Roman" w:eastAsia="宋体"/>
          <w:b/>
          <w:bCs/>
          <w:color w:val="auto"/>
          <w:szCs w:val="24"/>
          <w:highlight w:val="none"/>
        </w:rPr>
      </w:pPr>
      <w:r>
        <w:rPr>
          <w:rFonts w:hint="eastAsia" w:ascii="宋体" w:hAnsi="宋体" w:eastAsia="宋体"/>
          <w:b/>
          <w:bCs/>
          <w:color w:val="auto"/>
          <w:sz w:val="21"/>
          <w:szCs w:val="24"/>
          <w:highlight w:val="none"/>
        </w:rPr>
        <w:t>租赁面积表</w:t>
      </w:r>
    </w:p>
    <w:p w14:paraId="4D3619F5">
      <w:pPr>
        <w:tabs>
          <w:tab w:val="left" w:pos="1401"/>
        </w:tabs>
        <w:jc w:val="left"/>
        <w:rPr>
          <w:rFonts w:hint="eastAsia" w:ascii="Times New Roman" w:hAnsi="Times New Roman" w:eastAsia="宋体"/>
          <w:color w:val="auto"/>
          <w:szCs w:val="24"/>
          <w:highlight w:val="none"/>
        </w:rPr>
      </w:pPr>
      <w:r>
        <w:rPr>
          <w:rFonts w:hint="eastAsia"/>
          <w:color w:val="auto"/>
          <w:szCs w:val="24"/>
          <w:highlight w:val="none"/>
          <w:lang w:eastAsia="zh-CN"/>
        </w:rPr>
        <w:tab/>
      </w:r>
    </w:p>
    <w:tbl>
      <w:tblPr>
        <w:tblStyle w:val="32"/>
        <w:tblW w:w="83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4"/>
        <w:gridCol w:w="2093"/>
        <w:gridCol w:w="1947"/>
        <w:gridCol w:w="1904"/>
      </w:tblGrid>
      <w:tr w14:paraId="7A4896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single" w:color="000000" w:sz="8" w:space="0"/>
              <w:left w:val="single" w:color="000000" w:sz="8" w:space="0"/>
              <w:bottom w:val="single" w:color="000000" w:sz="8" w:space="0"/>
              <w:right w:val="single" w:color="000000" w:sz="8" w:space="0"/>
            </w:tcBorders>
            <w:noWrap/>
            <w:vAlign w:val="bottom"/>
          </w:tcPr>
          <w:p w14:paraId="30CF3185">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办公</w:t>
            </w:r>
          </w:p>
        </w:tc>
        <w:tc>
          <w:tcPr>
            <w:tcW w:w="2093" w:type="dxa"/>
            <w:tcBorders>
              <w:top w:val="single" w:color="000000" w:sz="8" w:space="0"/>
              <w:left w:val="nil"/>
              <w:bottom w:val="single" w:color="000000" w:sz="8" w:space="0"/>
              <w:right w:val="single" w:color="000000" w:sz="8" w:space="0"/>
            </w:tcBorders>
            <w:noWrap/>
            <w:vAlign w:val="bottom"/>
          </w:tcPr>
          <w:p w14:paraId="6F2527FE">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分摊前面积㎡</w:t>
            </w:r>
          </w:p>
        </w:tc>
        <w:tc>
          <w:tcPr>
            <w:tcW w:w="1947" w:type="dxa"/>
            <w:tcBorders>
              <w:top w:val="single" w:color="000000" w:sz="8" w:space="0"/>
              <w:left w:val="nil"/>
              <w:bottom w:val="single" w:color="000000" w:sz="8" w:space="0"/>
              <w:right w:val="single" w:color="000000" w:sz="8" w:space="0"/>
            </w:tcBorders>
            <w:noWrap/>
            <w:vAlign w:val="bottom"/>
          </w:tcPr>
          <w:p w14:paraId="6CFDCBF2">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分摊面积㎡</w:t>
            </w:r>
          </w:p>
        </w:tc>
        <w:tc>
          <w:tcPr>
            <w:tcW w:w="1904" w:type="dxa"/>
            <w:tcBorders>
              <w:top w:val="single" w:color="000000" w:sz="8" w:space="0"/>
              <w:left w:val="nil"/>
              <w:bottom w:val="single" w:color="000000" w:sz="8" w:space="0"/>
              <w:right w:val="single" w:color="000000" w:sz="8" w:space="0"/>
            </w:tcBorders>
            <w:noWrap/>
            <w:vAlign w:val="center"/>
          </w:tcPr>
          <w:p w14:paraId="1DA02D6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分摊后面积㎡</w:t>
            </w:r>
          </w:p>
        </w:tc>
      </w:tr>
      <w:tr w14:paraId="34BBB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bottom"/>
          </w:tcPr>
          <w:p w14:paraId="23E9B88B">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6层</w:t>
            </w:r>
          </w:p>
        </w:tc>
        <w:tc>
          <w:tcPr>
            <w:tcW w:w="0" w:type="auto"/>
            <w:tcBorders>
              <w:top w:val="nil"/>
              <w:left w:val="nil"/>
              <w:bottom w:val="single" w:color="000000" w:sz="8" w:space="0"/>
              <w:right w:val="single" w:color="000000" w:sz="8" w:space="0"/>
            </w:tcBorders>
            <w:noWrap/>
            <w:vAlign w:val="center"/>
          </w:tcPr>
          <w:p w14:paraId="3994ED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1552.02 </w:t>
            </w:r>
          </w:p>
        </w:tc>
        <w:tc>
          <w:tcPr>
            <w:tcW w:w="0" w:type="auto"/>
            <w:tcBorders>
              <w:top w:val="nil"/>
              <w:left w:val="nil"/>
              <w:bottom w:val="single" w:color="000000" w:sz="8" w:space="0"/>
              <w:right w:val="single" w:color="000000" w:sz="8" w:space="0"/>
            </w:tcBorders>
            <w:noWrap/>
            <w:vAlign w:val="bottom"/>
          </w:tcPr>
          <w:p w14:paraId="5521787B">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1310.27 </w:t>
            </w:r>
          </w:p>
        </w:tc>
        <w:tc>
          <w:tcPr>
            <w:tcW w:w="0" w:type="auto"/>
            <w:tcBorders>
              <w:top w:val="nil"/>
              <w:left w:val="nil"/>
              <w:bottom w:val="single" w:color="000000" w:sz="8" w:space="0"/>
              <w:right w:val="single" w:color="000000" w:sz="8" w:space="0"/>
            </w:tcBorders>
            <w:noWrap/>
            <w:vAlign w:val="center"/>
          </w:tcPr>
          <w:p w14:paraId="7CF092A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2862.29 </w:t>
            </w:r>
          </w:p>
        </w:tc>
      </w:tr>
      <w:tr w14:paraId="25AD9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bottom"/>
          </w:tcPr>
          <w:p w14:paraId="60BCDDD8">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7层</w:t>
            </w:r>
          </w:p>
        </w:tc>
        <w:tc>
          <w:tcPr>
            <w:tcW w:w="0" w:type="auto"/>
            <w:tcBorders>
              <w:top w:val="nil"/>
              <w:left w:val="nil"/>
              <w:bottom w:val="single" w:color="000000" w:sz="8" w:space="0"/>
              <w:right w:val="single" w:color="000000" w:sz="8" w:space="0"/>
            </w:tcBorders>
            <w:noWrap/>
            <w:vAlign w:val="center"/>
          </w:tcPr>
          <w:p w14:paraId="4352589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1470.49 </w:t>
            </w:r>
          </w:p>
        </w:tc>
        <w:tc>
          <w:tcPr>
            <w:tcW w:w="0" w:type="auto"/>
            <w:tcBorders>
              <w:top w:val="nil"/>
              <w:left w:val="nil"/>
              <w:bottom w:val="single" w:color="000000" w:sz="8" w:space="0"/>
              <w:right w:val="single" w:color="000000" w:sz="8" w:space="0"/>
            </w:tcBorders>
            <w:noWrap/>
            <w:vAlign w:val="bottom"/>
          </w:tcPr>
          <w:p w14:paraId="64AD457F">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1152.11 </w:t>
            </w:r>
          </w:p>
        </w:tc>
        <w:tc>
          <w:tcPr>
            <w:tcW w:w="0" w:type="auto"/>
            <w:tcBorders>
              <w:top w:val="nil"/>
              <w:left w:val="nil"/>
              <w:bottom w:val="single" w:color="000000" w:sz="8" w:space="0"/>
              <w:right w:val="single" w:color="000000" w:sz="8" w:space="0"/>
            </w:tcBorders>
            <w:noWrap/>
            <w:vAlign w:val="center"/>
          </w:tcPr>
          <w:p w14:paraId="680B611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2622.60 </w:t>
            </w:r>
          </w:p>
        </w:tc>
      </w:tr>
      <w:tr w14:paraId="66BDB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bottom"/>
          </w:tcPr>
          <w:p w14:paraId="5C67A1AA">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9层</w:t>
            </w:r>
          </w:p>
        </w:tc>
        <w:tc>
          <w:tcPr>
            <w:tcW w:w="0" w:type="auto"/>
            <w:tcBorders>
              <w:top w:val="nil"/>
              <w:left w:val="nil"/>
              <w:bottom w:val="single" w:color="000000" w:sz="8" w:space="0"/>
              <w:right w:val="single" w:color="000000" w:sz="8" w:space="0"/>
            </w:tcBorders>
            <w:noWrap/>
            <w:vAlign w:val="center"/>
          </w:tcPr>
          <w:p w14:paraId="364DDDC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1334.14 </w:t>
            </w:r>
          </w:p>
        </w:tc>
        <w:tc>
          <w:tcPr>
            <w:tcW w:w="0" w:type="auto"/>
            <w:tcBorders>
              <w:top w:val="nil"/>
              <w:left w:val="nil"/>
              <w:bottom w:val="single" w:color="000000" w:sz="8" w:space="0"/>
              <w:right w:val="single" w:color="000000" w:sz="8" w:space="0"/>
            </w:tcBorders>
            <w:noWrap/>
            <w:vAlign w:val="bottom"/>
          </w:tcPr>
          <w:p w14:paraId="14698D2B">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1005.67 </w:t>
            </w:r>
          </w:p>
        </w:tc>
        <w:tc>
          <w:tcPr>
            <w:tcW w:w="0" w:type="auto"/>
            <w:tcBorders>
              <w:top w:val="nil"/>
              <w:left w:val="nil"/>
              <w:bottom w:val="single" w:color="000000" w:sz="8" w:space="0"/>
              <w:right w:val="single" w:color="000000" w:sz="8" w:space="0"/>
            </w:tcBorders>
            <w:noWrap/>
            <w:vAlign w:val="center"/>
          </w:tcPr>
          <w:p w14:paraId="64C7F0F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2339.81 </w:t>
            </w:r>
          </w:p>
        </w:tc>
      </w:tr>
      <w:tr w14:paraId="35D32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bottom"/>
          </w:tcPr>
          <w:p w14:paraId="795E5A9B">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10层</w:t>
            </w:r>
          </w:p>
        </w:tc>
        <w:tc>
          <w:tcPr>
            <w:tcW w:w="0" w:type="auto"/>
            <w:tcBorders>
              <w:top w:val="nil"/>
              <w:left w:val="nil"/>
              <w:bottom w:val="single" w:color="000000" w:sz="8" w:space="0"/>
              <w:right w:val="single" w:color="000000" w:sz="8" w:space="0"/>
            </w:tcBorders>
            <w:noWrap/>
            <w:vAlign w:val="center"/>
          </w:tcPr>
          <w:p w14:paraId="15CC56F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1334.14 </w:t>
            </w:r>
          </w:p>
        </w:tc>
        <w:tc>
          <w:tcPr>
            <w:tcW w:w="0" w:type="auto"/>
            <w:tcBorders>
              <w:top w:val="nil"/>
              <w:left w:val="nil"/>
              <w:bottom w:val="single" w:color="000000" w:sz="8" w:space="0"/>
              <w:right w:val="single" w:color="000000" w:sz="8" w:space="0"/>
            </w:tcBorders>
            <w:noWrap/>
            <w:vAlign w:val="bottom"/>
          </w:tcPr>
          <w:p w14:paraId="115659B1">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1005.67 </w:t>
            </w:r>
          </w:p>
        </w:tc>
        <w:tc>
          <w:tcPr>
            <w:tcW w:w="0" w:type="auto"/>
            <w:tcBorders>
              <w:top w:val="nil"/>
              <w:left w:val="nil"/>
              <w:bottom w:val="single" w:color="000000" w:sz="8" w:space="0"/>
              <w:right w:val="single" w:color="000000" w:sz="8" w:space="0"/>
            </w:tcBorders>
            <w:noWrap/>
            <w:vAlign w:val="center"/>
          </w:tcPr>
          <w:p w14:paraId="03A29E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2339.81 </w:t>
            </w:r>
          </w:p>
        </w:tc>
      </w:tr>
      <w:tr w14:paraId="0E4E2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bottom"/>
          </w:tcPr>
          <w:p w14:paraId="02E2CE01">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11～16层</w:t>
            </w:r>
          </w:p>
        </w:tc>
        <w:tc>
          <w:tcPr>
            <w:tcW w:w="0" w:type="auto"/>
            <w:tcBorders>
              <w:top w:val="nil"/>
              <w:left w:val="nil"/>
              <w:bottom w:val="single" w:color="000000" w:sz="8" w:space="0"/>
              <w:right w:val="single" w:color="000000" w:sz="8" w:space="0"/>
            </w:tcBorders>
            <w:noWrap/>
            <w:vAlign w:val="center"/>
          </w:tcPr>
          <w:p w14:paraId="1D240FE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8013.64 </w:t>
            </w:r>
          </w:p>
        </w:tc>
        <w:tc>
          <w:tcPr>
            <w:tcW w:w="0" w:type="auto"/>
            <w:tcBorders>
              <w:top w:val="nil"/>
              <w:left w:val="nil"/>
              <w:bottom w:val="single" w:color="000000" w:sz="8" w:space="0"/>
              <w:right w:val="single" w:color="000000" w:sz="8" w:space="0"/>
            </w:tcBorders>
            <w:noWrap/>
            <w:vAlign w:val="bottom"/>
          </w:tcPr>
          <w:p w14:paraId="67974CA1">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6026.72 </w:t>
            </w:r>
          </w:p>
        </w:tc>
        <w:tc>
          <w:tcPr>
            <w:tcW w:w="0" w:type="auto"/>
            <w:tcBorders>
              <w:top w:val="nil"/>
              <w:left w:val="nil"/>
              <w:bottom w:val="single" w:color="000000" w:sz="8" w:space="0"/>
              <w:right w:val="single" w:color="000000" w:sz="8" w:space="0"/>
            </w:tcBorders>
            <w:noWrap/>
            <w:vAlign w:val="center"/>
          </w:tcPr>
          <w:p w14:paraId="4544668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14040.36 </w:t>
            </w:r>
          </w:p>
        </w:tc>
      </w:tr>
      <w:tr w14:paraId="291A5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322C95D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 22, 26层</w:t>
            </w:r>
          </w:p>
        </w:tc>
        <w:tc>
          <w:tcPr>
            <w:tcW w:w="0" w:type="auto"/>
            <w:tcBorders>
              <w:top w:val="nil"/>
              <w:left w:val="nil"/>
              <w:bottom w:val="single" w:color="000000" w:sz="8" w:space="0"/>
              <w:right w:val="single" w:color="000000" w:sz="8" w:space="0"/>
            </w:tcBorders>
            <w:noWrap/>
            <w:vAlign w:val="center"/>
          </w:tcPr>
          <w:p w14:paraId="3216749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4038.44 </w:t>
            </w:r>
          </w:p>
        </w:tc>
        <w:tc>
          <w:tcPr>
            <w:tcW w:w="0" w:type="auto"/>
            <w:tcBorders>
              <w:top w:val="nil"/>
              <w:left w:val="nil"/>
              <w:bottom w:val="single" w:color="000000" w:sz="8" w:space="0"/>
              <w:right w:val="single" w:color="000000" w:sz="8" w:space="0"/>
            </w:tcBorders>
            <w:noWrap/>
            <w:vAlign w:val="bottom"/>
          </w:tcPr>
          <w:p w14:paraId="640983A7">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3310.53 </w:t>
            </w:r>
          </w:p>
        </w:tc>
        <w:tc>
          <w:tcPr>
            <w:tcW w:w="0" w:type="auto"/>
            <w:tcBorders>
              <w:top w:val="nil"/>
              <w:left w:val="nil"/>
              <w:bottom w:val="single" w:color="000000" w:sz="8" w:space="0"/>
              <w:right w:val="single" w:color="000000" w:sz="8" w:space="0"/>
            </w:tcBorders>
            <w:noWrap/>
            <w:vAlign w:val="center"/>
          </w:tcPr>
          <w:p w14:paraId="60DEE88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7348.97 </w:t>
            </w:r>
          </w:p>
        </w:tc>
      </w:tr>
      <w:tr w14:paraId="7F14C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45FF5E8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19, 21, 23, 25层</w:t>
            </w:r>
          </w:p>
        </w:tc>
        <w:tc>
          <w:tcPr>
            <w:tcW w:w="0" w:type="auto"/>
            <w:tcBorders>
              <w:top w:val="nil"/>
              <w:left w:val="nil"/>
              <w:bottom w:val="single" w:color="000000" w:sz="8" w:space="0"/>
              <w:right w:val="single" w:color="000000" w:sz="8" w:space="0"/>
            </w:tcBorders>
            <w:noWrap/>
            <w:vAlign w:val="center"/>
          </w:tcPr>
          <w:p w14:paraId="11A6188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5378.66 </w:t>
            </w:r>
          </w:p>
        </w:tc>
        <w:tc>
          <w:tcPr>
            <w:tcW w:w="0" w:type="auto"/>
            <w:tcBorders>
              <w:top w:val="nil"/>
              <w:left w:val="nil"/>
              <w:bottom w:val="single" w:color="000000" w:sz="8" w:space="0"/>
              <w:right w:val="single" w:color="000000" w:sz="8" w:space="0"/>
            </w:tcBorders>
            <w:noWrap/>
            <w:vAlign w:val="bottom"/>
          </w:tcPr>
          <w:p w14:paraId="79437BA4">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4418.90 </w:t>
            </w:r>
          </w:p>
        </w:tc>
        <w:tc>
          <w:tcPr>
            <w:tcW w:w="0" w:type="auto"/>
            <w:tcBorders>
              <w:top w:val="nil"/>
              <w:left w:val="nil"/>
              <w:bottom w:val="single" w:color="000000" w:sz="8" w:space="0"/>
              <w:right w:val="single" w:color="000000" w:sz="8" w:space="0"/>
            </w:tcBorders>
            <w:noWrap/>
            <w:vAlign w:val="center"/>
          </w:tcPr>
          <w:p w14:paraId="25D9DF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9797.56 </w:t>
            </w:r>
          </w:p>
        </w:tc>
      </w:tr>
      <w:tr w14:paraId="2781D3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5CEE8B7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20, 24层</w:t>
            </w:r>
          </w:p>
        </w:tc>
        <w:tc>
          <w:tcPr>
            <w:tcW w:w="0" w:type="auto"/>
            <w:tcBorders>
              <w:top w:val="nil"/>
              <w:left w:val="nil"/>
              <w:bottom w:val="single" w:color="000000" w:sz="8" w:space="0"/>
              <w:right w:val="single" w:color="000000" w:sz="8" w:space="0"/>
            </w:tcBorders>
            <w:noWrap/>
            <w:vAlign w:val="center"/>
          </w:tcPr>
          <w:p w14:paraId="018C277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2686.67 </w:t>
            </w:r>
          </w:p>
        </w:tc>
        <w:tc>
          <w:tcPr>
            <w:tcW w:w="0" w:type="auto"/>
            <w:tcBorders>
              <w:top w:val="nil"/>
              <w:left w:val="nil"/>
              <w:bottom w:val="single" w:color="000000" w:sz="8" w:space="0"/>
              <w:right w:val="single" w:color="000000" w:sz="8" w:space="0"/>
            </w:tcBorders>
            <w:noWrap/>
            <w:vAlign w:val="bottom"/>
          </w:tcPr>
          <w:p w14:paraId="61DCFEE4">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2211.63 </w:t>
            </w:r>
          </w:p>
        </w:tc>
        <w:tc>
          <w:tcPr>
            <w:tcW w:w="0" w:type="auto"/>
            <w:tcBorders>
              <w:top w:val="nil"/>
              <w:left w:val="nil"/>
              <w:bottom w:val="single" w:color="000000" w:sz="8" w:space="0"/>
              <w:right w:val="single" w:color="000000" w:sz="8" w:space="0"/>
            </w:tcBorders>
            <w:noWrap/>
            <w:vAlign w:val="center"/>
          </w:tcPr>
          <w:p w14:paraId="39F6A0E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4898.30 </w:t>
            </w:r>
          </w:p>
        </w:tc>
      </w:tr>
      <w:tr w14:paraId="7C0B9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7C688F5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28, 32, 36层</w:t>
            </w:r>
          </w:p>
        </w:tc>
        <w:tc>
          <w:tcPr>
            <w:tcW w:w="0" w:type="auto"/>
            <w:tcBorders>
              <w:top w:val="nil"/>
              <w:left w:val="nil"/>
              <w:bottom w:val="single" w:color="000000" w:sz="8" w:space="0"/>
              <w:right w:val="single" w:color="000000" w:sz="8" w:space="0"/>
            </w:tcBorders>
            <w:noWrap/>
            <w:vAlign w:val="center"/>
          </w:tcPr>
          <w:p w14:paraId="69D3A35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4126.01 </w:t>
            </w:r>
          </w:p>
        </w:tc>
        <w:tc>
          <w:tcPr>
            <w:tcW w:w="0" w:type="auto"/>
            <w:tcBorders>
              <w:top w:val="nil"/>
              <w:left w:val="nil"/>
              <w:bottom w:val="single" w:color="000000" w:sz="8" w:space="0"/>
              <w:right w:val="single" w:color="000000" w:sz="8" w:space="0"/>
            </w:tcBorders>
            <w:noWrap/>
            <w:vAlign w:val="bottom"/>
          </w:tcPr>
          <w:p w14:paraId="499B6DD7">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3517.17 </w:t>
            </w:r>
          </w:p>
        </w:tc>
        <w:tc>
          <w:tcPr>
            <w:tcW w:w="0" w:type="auto"/>
            <w:tcBorders>
              <w:top w:val="nil"/>
              <w:left w:val="nil"/>
              <w:bottom w:val="single" w:color="000000" w:sz="8" w:space="0"/>
              <w:right w:val="single" w:color="000000" w:sz="8" w:space="0"/>
            </w:tcBorders>
            <w:noWrap/>
            <w:vAlign w:val="center"/>
          </w:tcPr>
          <w:p w14:paraId="755A4D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7643.17 </w:t>
            </w:r>
          </w:p>
        </w:tc>
      </w:tr>
      <w:tr w14:paraId="1DE2D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692A7DB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29, 31, 33, 35层</w:t>
            </w:r>
          </w:p>
        </w:tc>
        <w:tc>
          <w:tcPr>
            <w:tcW w:w="0" w:type="auto"/>
            <w:tcBorders>
              <w:top w:val="nil"/>
              <w:left w:val="nil"/>
              <w:bottom w:val="single" w:color="000000" w:sz="8" w:space="0"/>
              <w:right w:val="single" w:color="000000" w:sz="8" w:space="0"/>
            </w:tcBorders>
            <w:noWrap/>
            <w:vAlign w:val="center"/>
          </w:tcPr>
          <w:p w14:paraId="406EBCA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5492.26 </w:t>
            </w:r>
          </w:p>
        </w:tc>
        <w:tc>
          <w:tcPr>
            <w:tcW w:w="0" w:type="auto"/>
            <w:tcBorders>
              <w:top w:val="nil"/>
              <w:left w:val="nil"/>
              <w:bottom w:val="single" w:color="000000" w:sz="8" w:space="0"/>
              <w:right w:val="single" w:color="000000" w:sz="8" w:space="0"/>
            </w:tcBorders>
            <w:noWrap/>
            <w:vAlign w:val="bottom"/>
          </w:tcPr>
          <w:p w14:paraId="1F27CAE8">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4697.00 </w:t>
            </w:r>
          </w:p>
        </w:tc>
        <w:tc>
          <w:tcPr>
            <w:tcW w:w="0" w:type="auto"/>
            <w:tcBorders>
              <w:top w:val="nil"/>
              <w:left w:val="nil"/>
              <w:bottom w:val="single" w:color="000000" w:sz="8" w:space="0"/>
              <w:right w:val="single" w:color="000000" w:sz="8" w:space="0"/>
            </w:tcBorders>
            <w:noWrap/>
            <w:vAlign w:val="center"/>
          </w:tcPr>
          <w:p w14:paraId="3662D1B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10189.27 </w:t>
            </w:r>
          </w:p>
        </w:tc>
      </w:tr>
      <w:tr w14:paraId="5B82E7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084863C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30, 34层</w:t>
            </w:r>
          </w:p>
        </w:tc>
        <w:tc>
          <w:tcPr>
            <w:tcW w:w="0" w:type="auto"/>
            <w:tcBorders>
              <w:top w:val="nil"/>
              <w:left w:val="nil"/>
              <w:bottom w:val="single" w:color="000000" w:sz="8" w:space="0"/>
              <w:right w:val="single" w:color="000000" w:sz="8" w:space="0"/>
            </w:tcBorders>
            <w:noWrap/>
            <w:vAlign w:val="center"/>
          </w:tcPr>
          <w:p w14:paraId="5C9069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2744.09 </w:t>
            </w:r>
          </w:p>
        </w:tc>
        <w:tc>
          <w:tcPr>
            <w:tcW w:w="0" w:type="auto"/>
            <w:tcBorders>
              <w:top w:val="nil"/>
              <w:left w:val="nil"/>
              <w:bottom w:val="single" w:color="000000" w:sz="8" w:space="0"/>
              <w:right w:val="single" w:color="000000" w:sz="8" w:space="0"/>
            </w:tcBorders>
            <w:noWrap/>
            <w:vAlign w:val="bottom"/>
          </w:tcPr>
          <w:p w14:paraId="7E61B7BE">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2350.18 </w:t>
            </w:r>
          </w:p>
        </w:tc>
        <w:tc>
          <w:tcPr>
            <w:tcW w:w="0" w:type="auto"/>
            <w:tcBorders>
              <w:top w:val="nil"/>
              <w:left w:val="nil"/>
              <w:bottom w:val="single" w:color="000000" w:sz="8" w:space="0"/>
              <w:right w:val="single" w:color="000000" w:sz="8" w:space="0"/>
            </w:tcBorders>
            <w:noWrap/>
            <w:vAlign w:val="center"/>
          </w:tcPr>
          <w:p w14:paraId="56AF17D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5094.27 </w:t>
            </w:r>
          </w:p>
        </w:tc>
      </w:tr>
      <w:tr w14:paraId="14F494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5EA3C3C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39层</w:t>
            </w:r>
          </w:p>
        </w:tc>
        <w:tc>
          <w:tcPr>
            <w:tcW w:w="0" w:type="auto"/>
            <w:tcBorders>
              <w:top w:val="nil"/>
              <w:left w:val="nil"/>
              <w:bottom w:val="single" w:color="000000" w:sz="8" w:space="0"/>
              <w:right w:val="single" w:color="000000" w:sz="8" w:space="0"/>
            </w:tcBorders>
            <w:noWrap/>
            <w:vAlign w:val="center"/>
          </w:tcPr>
          <w:p w14:paraId="425284F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1381.29 </w:t>
            </w:r>
          </w:p>
        </w:tc>
        <w:tc>
          <w:tcPr>
            <w:tcW w:w="0" w:type="auto"/>
            <w:tcBorders>
              <w:top w:val="nil"/>
              <w:left w:val="nil"/>
              <w:bottom w:val="single" w:color="000000" w:sz="8" w:space="0"/>
              <w:right w:val="single" w:color="000000" w:sz="8" w:space="0"/>
            </w:tcBorders>
            <w:noWrap/>
            <w:vAlign w:val="bottom"/>
          </w:tcPr>
          <w:p w14:paraId="13DE6FE1">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1004.56 </w:t>
            </w:r>
          </w:p>
        </w:tc>
        <w:tc>
          <w:tcPr>
            <w:tcW w:w="0" w:type="auto"/>
            <w:tcBorders>
              <w:top w:val="nil"/>
              <w:left w:val="nil"/>
              <w:bottom w:val="single" w:color="000000" w:sz="8" w:space="0"/>
              <w:right w:val="single" w:color="000000" w:sz="8" w:space="0"/>
            </w:tcBorders>
            <w:noWrap/>
            <w:vAlign w:val="center"/>
          </w:tcPr>
          <w:p w14:paraId="4AFF56B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2385.84 </w:t>
            </w:r>
          </w:p>
        </w:tc>
      </w:tr>
      <w:tr w14:paraId="71E2E1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5401260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40层</w:t>
            </w:r>
          </w:p>
        </w:tc>
        <w:tc>
          <w:tcPr>
            <w:tcW w:w="0" w:type="auto"/>
            <w:tcBorders>
              <w:top w:val="nil"/>
              <w:left w:val="nil"/>
              <w:bottom w:val="single" w:color="000000" w:sz="8" w:space="0"/>
              <w:right w:val="single" w:color="000000" w:sz="8" w:space="0"/>
            </w:tcBorders>
            <w:noWrap/>
            <w:vAlign w:val="center"/>
          </w:tcPr>
          <w:p w14:paraId="3F0FC44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1381.29 </w:t>
            </w:r>
          </w:p>
        </w:tc>
        <w:tc>
          <w:tcPr>
            <w:tcW w:w="0" w:type="auto"/>
            <w:tcBorders>
              <w:top w:val="nil"/>
              <w:left w:val="nil"/>
              <w:bottom w:val="single" w:color="000000" w:sz="8" w:space="0"/>
              <w:right w:val="single" w:color="000000" w:sz="8" w:space="0"/>
            </w:tcBorders>
            <w:noWrap/>
            <w:vAlign w:val="bottom"/>
          </w:tcPr>
          <w:p w14:paraId="283E99FE">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1004.56 </w:t>
            </w:r>
          </w:p>
        </w:tc>
        <w:tc>
          <w:tcPr>
            <w:tcW w:w="0" w:type="auto"/>
            <w:tcBorders>
              <w:top w:val="nil"/>
              <w:left w:val="nil"/>
              <w:bottom w:val="single" w:color="000000" w:sz="8" w:space="0"/>
              <w:right w:val="single" w:color="000000" w:sz="8" w:space="0"/>
            </w:tcBorders>
            <w:noWrap/>
            <w:vAlign w:val="center"/>
          </w:tcPr>
          <w:p w14:paraId="06861A8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2385.84 </w:t>
            </w:r>
          </w:p>
        </w:tc>
      </w:tr>
      <w:tr w14:paraId="21759E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2B847C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41, 43层</w:t>
            </w:r>
          </w:p>
        </w:tc>
        <w:tc>
          <w:tcPr>
            <w:tcW w:w="0" w:type="auto"/>
            <w:tcBorders>
              <w:top w:val="nil"/>
              <w:left w:val="nil"/>
              <w:bottom w:val="single" w:color="000000" w:sz="8" w:space="0"/>
              <w:right w:val="single" w:color="000000" w:sz="8" w:space="0"/>
            </w:tcBorders>
            <w:noWrap/>
            <w:vAlign w:val="center"/>
          </w:tcPr>
          <w:p w14:paraId="720E179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2847.87 </w:t>
            </w:r>
          </w:p>
        </w:tc>
        <w:tc>
          <w:tcPr>
            <w:tcW w:w="0" w:type="auto"/>
            <w:tcBorders>
              <w:top w:val="nil"/>
              <w:left w:val="nil"/>
              <w:bottom w:val="single" w:color="000000" w:sz="8" w:space="0"/>
              <w:right w:val="single" w:color="000000" w:sz="8" w:space="0"/>
            </w:tcBorders>
            <w:noWrap/>
            <w:vAlign w:val="bottom"/>
          </w:tcPr>
          <w:p w14:paraId="5C1108A7">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2079.72 </w:t>
            </w:r>
          </w:p>
        </w:tc>
        <w:tc>
          <w:tcPr>
            <w:tcW w:w="0" w:type="auto"/>
            <w:tcBorders>
              <w:top w:val="nil"/>
              <w:left w:val="nil"/>
              <w:bottom w:val="single" w:color="000000" w:sz="8" w:space="0"/>
              <w:right w:val="single" w:color="000000" w:sz="8" w:space="0"/>
            </w:tcBorders>
            <w:noWrap/>
            <w:vAlign w:val="center"/>
          </w:tcPr>
          <w:p w14:paraId="41F8B89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4927.58 </w:t>
            </w:r>
          </w:p>
        </w:tc>
      </w:tr>
      <w:tr w14:paraId="1BAB9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60920DA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42, 44层</w:t>
            </w:r>
          </w:p>
        </w:tc>
        <w:tc>
          <w:tcPr>
            <w:tcW w:w="0" w:type="auto"/>
            <w:tcBorders>
              <w:top w:val="nil"/>
              <w:left w:val="nil"/>
              <w:bottom w:val="single" w:color="000000" w:sz="8" w:space="0"/>
              <w:right w:val="single" w:color="000000" w:sz="8" w:space="0"/>
            </w:tcBorders>
            <w:noWrap/>
            <w:vAlign w:val="center"/>
          </w:tcPr>
          <w:p w14:paraId="644DBC2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2853.27 </w:t>
            </w:r>
          </w:p>
        </w:tc>
        <w:tc>
          <w:tcPr>
            <w:tcW w:w="0" w:type="auto"/>
            <w:tcBorders>
              <w:top w:val="nil"/>
              <w:left w:val="nil"/>
              <w:bottom w:val="single" w:color="000000" w:sz="8" w:space="0"/>
              <w:right w:val="single" w:color="000000" w:sz="8" w:space="0"/>
            </w:tcBorders>
            <w:noWrap/>
            <w:vAlign w:val="bottom"/>
          </w:tcPr>
          <w:p w14:paraId="66E4BBE3">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2075.22 </w:t>
            </w:r>
          </w:p>
        </w:tc>
        <w:tc>
          <w:tcPr>
            <w:tcW w:w="0" w:type="auto"/>
            <w:tcBorders>
              <w:top w:val="nil"/>
              <w:left w:val="nil"/>
              <w:bottom w:val="single" w:color="000000" w:sz="8" w:space="0"/>
              <w:right w:val="single" w:color="000000" w:sz="8" w:space="0"/>
            </w:tcBorders>
            <w:noWrap/>
            <w:vAlign w:val="center"/>
          </w:tcPr>
          <w:p w14:paraId="55F9C2B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4928.49 </w:t>
            </w:r>
          </w:p>
        </w:tc>
      </w:tr>
      <w:tr w14:paraId="2D514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59A04DC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45层</w:t>
            </w:r>
          </w:p>
        </w:tc>
        <w:tc>
          <w:tcPr>
            <w:tcW w:w="0" w:type="auto"/>
            <w:tcBorders>
              <w:top w:val="nil"/>
              <w:left w:val="nil"/>
              <w:bottom w:val="single" w:color="000000" w:sz="8" w:space="0"/>
              <w:right w:val="single" w:color="000000" w:sz="8" w:space="0"/>
            </w:tcBorders>
            <w:noWrap/>
            <w:vAlign w:val="center"/>
          </w:tcPr>
          <w:p w14:paraId="38A8AE8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1428.90 </w:t>
            </w:r>
          </w:p>
        </w:tc>
        <w:tc>
          <w:tcPr>
            <w:tcW w:w="0" w:type="auto"/>
            <w:tcBorders>
              <w:top w:val="nil"/>
              <w:left w:val="nil"/>
              <w:bottom w:val="single" w:color="000000" w:sz="8" w:space="0"/>
              <w:right w:val="single" w:color="000000" w:sz="8" w:space="0"/>
            </w:tcBorders>
            <w:noWrap/>
            <w:vAlign w:val="bottom"/>
          </w:tcPr>
          <w:p w14:paraId="046D8E50">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1035.72 </w:t>
            </w:r>
          </w:p>
        </w:tc>
        <w:tc>
          <w:tcPr>
            <w:tcW w:w="0" w:type="auto"/>
            <w:tcBorders>
              <w:top w:val="nil"/>
              <w:left w:val="nil"/>
              <w:bottom w:val="single" w:color="000000" w:sz="8" w:space="0"/>
              <w:right w:val="single" w:color="000000" w:sz="8" w:space="0"/>
            </w:tcBorders>
            <w:noWrap/>
            <w:vAlign w:val="center"/>
          </w:tcPr>
          <w:p w14:paraId="27A2B3A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2464.62 </w:t>
            </w:r>
          </w:p>
        </w:tc>
      </w:tr>
      <w:tr w14:paraId="5839D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tcBorders>
              <w:top w:val="nil"/>
              <w:left w:val="single" w:color="000000" w:sz="8" w:space="0"/>
              <w:bottom w:val="single" w:color="000000" w:sz="8" w:space="0"/>
              <w:right w:val="single" w:color="000000" w:sz="8" w:space="0"/>
            </w:tcBorders>
            <w:noWrap/>
            <w:vAlign w:val="center"/>
          </w:tcPr>
          <w:p w14:paraId="5AC59AC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47～53层</w:t>
            </w:r>
          </w:p>
        </w:tc>
        <w:tc>
          <w:tcPr>
            <w:tcW w:w="0" w:type="auto"/>
            <w:tcBorders>
              <w:top w:val="nil"/>
              <w:left w:val="nil"/>
              <w:bottom w:val="single" w:color="000000" w:sz="8" w:space="0"/>
              <w:right w:val="single" w:color="000000" w:sz="8" w:space="0"/>
            </w:tcBorders>
            <w:noWrap/>
            <w:vAlign w:val="center"/>
          </w:tcPr>
          <w:p w14:paraId="4E29A1D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10028.22 </w:t>
            </w:r>
          </w:p>
        </w:tc>
        <w:tc>
          <w:tcPr>
            <w:tcW w:w="0" w:type="auto"/>
            <w:tcBorders>
              <w:top w:val="nil"/>
              <w:left w:val="nil"/>
              <w:bottom w:val="single" w:color="000000" w:sz="8" w:space="0"/>
              <w:right w:val="single" w:color="000000" w:sz="8" w:space="0"/>
            </w:tcBorders>
            <w:noWrap/>
            <w:vAlign w:val="bottom"/>
          </w:tcPr>
          <w:p w14:paraId="49FB3E2B">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7706.61 </w:t>
            </w:r>
          </w:p>
        </w:tc>
        <w:tc>
          <w:tcPr>
            <w:tcW w:w="0" w:type="auto"/>
            <w:tcBorders>
              <w:top w:val="nil"/>
              <w:left w:val="nil"/>
              <w:bottom w:val="single" w:color="000000" w:sz="8" w:space="0"/>
              <w:right w:val="single" w:color="000000" w:sz="8" w:space="0"/>
            </w:tcBorders>
            <w:noWrap/>
            <w:vAlign w:val="center"/>
          </w:tcPr>
          <w:p w14:paraId="5CF9922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17734.83 </w:t>
            </w:r>
          </w:p>
        </w:tc>
      </w:tr>
      <w:tr w14:paraId="681A3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0" w:type="auto"/>
            <w:gridSpan w:val="3"/>
            <w:tcBorders>
              <w:top w:val="nil"/>
              <w:left w:val="single" w:color="000000" w:sz="8" w:space="0"/>
              <w:bottom w:val="single" w:color="000000" w:sz="8" w:space="0"/>
              <w:right w:val="single" w:color="000000" w:sz="8" w:space="0"/>
            </w:tcBorders>
            <w:noWrap/>
            <w:vAlign w:val="bottom"/>
          </w:tcPr>
          <w:p w14:paraId="378F3C8F">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可出租办公总面积㎡（不含避难层）</w:t>
            </w:r>
          </w:p>
        </w:tc>
        <w:tc>
          <w:tcPr>
            <w:tcW w:w="0" w:type="auto"/>
            <w:tcBorders>
              <w:top w:val="nil"/>
              <w:left w:val="nil"/>
              <w:bottom w:val="single" w:color="000000" w:sz="8" w:space="0"/>
              <w:right w:val="single" w:color="000000" w:sz="8" w:space="0"/>
            </w:tcBorders>
            <w:noWrap/>
            <w:vAlign w:val="bottom"/>
          </w:tcPr>
          <w:p w14:paraId="204E1562">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104003.64 </w:t>
            </w:r>
          </w:p>
        </w:tc>
      </w:tr>
      <w:tr w14:paraId="6C33D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0" w:type="auto"/>
            <w:gridSpan w:val="3"/>
            <w:tcBorders>
              <w:top w:val="nil"/>
              <w:left w:val="single" w:color="000000" w:sz="8" w:space="0"/>
              <w:bottom w:val="single" w:color="000000" w:sz="8" w:space="0"/>
              <w:right w:val="single" w:color="000000" w:sz="8" w:space="0"/>
            </w:tcBorders>
            <w:noWrap/>
            <w:vAlign w:val="bottom"/>
          </w:tcPr>
          <w:p w14:paraId="27FB81B1">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甲方自留租赁办公面积㎡（比例20%）</w:t>
            </w:r>
          </w:p>
        </w:tc>
        <w:tc>
          <w:tcPr>
            <w:tcW w:w="0" w:type="auto"/>
            <w:tcBorders>
              <w:top w:val="nil"/>
              <w:left w:val="nil"/>
              <w:bottom w:val="single" w:color="000000" w:sz="8" w:space="0"/>
              <w:right w:val="single" w:color="000000" w:sz="8" w:space="0"/>
            </w:tcBorders>
            <w:noWrap/>
            <w:vAlign w:val="bottom"/>
          </w:tcPr>
          <w:p w14:paraId="6BD5BE5A">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20800.73 </w:t>
            </w:r>
          </w:p>
        </w:tc>
      </w:tr>
      <w:tr w14:paraId="7CD0EB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0" w:type="auto"/>
            <w:gridSpan w:val="3"/>
            <w:tcBorders>
              <w:top w:val="nil"/>
              <w:left w:val="single" w:color="000000" w:sz="8" w:space="0"/>
              <w:bottom w:val="single" w:color="000000" w:sz="8" w:space="0"/>
              <w:right w:val="single" w:color="000000" w:sz="8" w:space="0"/>
            </w:tcBorders>
            <w:noWrap/>
            <w:vAlign w:val="bottom"/>
          </w:tcPr>
          <w:p w14:paraId="364541A8">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授权代理办公租赁面积㎡（比例80%）</w:t>
            </w:r>
          </w:p>
        </w:tc>
        <w:tc>
          <w:tcPr>
            <w:tcW w:w="0" w:type="auto"/>
            <w:tcBorders>
              <w:top w:val="nil"/>
              <w:left w:val="nil"/>
              <w:bottom w:val="single" w:color="000000" w:sz="8" w:space="0"/>
              <w:right w:val="single" w:color="000000" w:sz="8" w:space="0"/>
            </w:tcBorders>
            <w:noWrap/>
            <w:vAlign w:val="bottom"/>
          </w:tcPr>
          <w:p w14:paraId="21DB0A96">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83202.91 </w:t>
            </w:r>
          </w:p>
        </w:tc>
      </w:tr>
    </w:tbl>
    <w:p w14:paraId="30050776">
      <w:pPr>
        <w:tabs>
          <w:tab w:val="left" w:pos="1401"/>
        </w:tabs>
        <w:jc w:val="left"/>
        <w:rPr>
          <w:rFonts w:hint="eastAsia" w:ascii="Times New Roman" w:hAnsi="Times New Roman" w:eastAsia="宋体"/>
          <w:color w:val="auto"/>
          <w:szCs w:val="24"/>
          <w:highlight w:val="none"/>
        </w:rPr>
      </w:pPr>
    </w:p>
    <w:p w14:paraId="20FF71A6">
      <w:pPr>
        <w:pStyle w:val="3"/>
        <w:pageBreakBefore/>
        <w:spacing w:before="93" w:beforeLines="30" w:after="0" w:line="360" w:lineRule="auto"/>
        <w:rPr>
          <w:rFonts w:hint="eastAsia" w:ascii="宋体" w:hAnsi="宋体" w:eastAsia="宋体"/>
          <w:color w:val="auto"/>
          <w:szCs w:val="21"/>
          <w:highlight w:val="none"/>
        </w:rPr>
      </w:pPr>
      <w:bookmarkStart w:id="492" w:name="_Toc9124"/>
      <w:r>
        <w:rPr>
          <w:rFonts w:hint="eastAsia" w:ascii="宋体" w:hAnsi="宋体" w:eastAsia="宋体"/>
          <w:color w:val="auto"/>
          <w:sz w:val="21"/>
          <w:szCs w:val="24"/>
          <w:highlight w:val="none"/>
        </w:rPr>
        <w:t>合同附件二：服务</w:t>
      </w:r>
      <w:r>
        <w:rPr>
          <w:rFonts w:hint="eastAsia" w:ascii="宋体" w:hAnsi="宋体" w:eastAsia="宋体"/>
          <w:color w:val="auto"/>
          <w:sz w:val="21"/>
          <w:szCs w:val="24"/>
          <w:highlight w:val="none"/>
          <w:lang w:val="en-US" w:eastAsia="zh-CN"/>
        </w:rPr>
        <w:t>工作</w:t>
      </w:r>
      <w:r>
        <w:rPr>
          <w:rFonts w:hint="eastAsia" w:ascii="宋体" w:hAnsi="宋体" w:eastAsia="宋体"/>
          <w:color w:val="auto"/>
          <w:sz w:val="21"/>
          <w:szCs w:val="24"/>
          <w:highlight w:val="none"/>
        </w:rPr>
        <w:t>内容</w:t>
      </w:r>
      <w:bookmarkEnd w:id="492"/>
    </w:p>
    <w:p w14:paraId="3BBB88A7">
      <w:pPr>
        <w:spacing w:line="276" w:lineRule="auto"/>
        <w:jc w:val="center"/>
        <w:rPr>
          <w:rFonts w:hint="default" w:ascii="宋体" w:hAnsi="宋体" w:eastAsia="宋体"/>
          <w:b/>
          <w:color w:val="auto"/>
          <w:highlight w:val="none"/>
          <w:lang w:val="en-US" w:eastAsia="zh-CN"/>
        </w:rPr>
      </w:pPr>
      <w:r>
        <w:rPr>
          <w:rFonts w:hint="eastAsia" w:ascii="宋体" w:hAnsi="宋体"/>
          <w:b/>
          <w:color w:val="auto"/>
          <w:highlight w:val="none"/>
          <w:lang w:val="en-US" w:eastAsia="zh-CN"/>
        </w:rPr>
        <w:t>服务工作内容</w:t>
      </w:r>
    </w:p>
    <w:p w14:paraId="203BFB45">
      <w:pPr>
        <w:spacing w:line="276" w:lineRule="auto"/>
        <w:rPr>
          <w:rFonts w:hint="eastAsia" w:ascii="宋体" w:hAnsi="宋体"/>
          <w:b/>
          <w:color w:val="auto"/>
          <w:highlight w:val="none"/>
        </w:rPr>
      </w:pPr>
      <w:r>
        <w:rPr>
          <w:rFonts w:hint="eastAsia" w:ascii="宋体" w:hAnsi="宋体"/>
          <w:b/>
          <w:color w:val="auto"/>
          <w:highlight w:val="none"/>
        </w:rPr>
        <w:t>（一）制定整体招商策划方案</w:t>
      </w:r>
    </w:p>
    <w:p w14:paraId="02E8F878">
      <w:pPr>
        <w:spacing w:line="276" w:lineRule="auto"/>
        <w:ind w:firstLine="420" w:firstLineChars="200"/>
        <w:rPr>
          <w:rFonts w:hint="eastAsia" w:ascii="宋体" w:hAnsi="宋体" w:cs="Times New Roman"/>
          <w:color w:val="auto"/>
          <w:highlight w:val="none"/>
        </w:rPr>
      </w:pPr>
      <w:r>
        <w:rPr>
          <w:rFonts w:hint="eastAsia" w:ascii="宋体" w:hAnsi="宋体" w:cs="Times New Roman"/>
          <w:color w:val="auto"/>
          <w:highlight w:val="none"/>
        </w:rPr>
        <w:t>1.整体招商策略（包括：宏观市场分析、项目定位优化建议、市场切入时机、招商中心和样板间设计规划建议、营销推广建议、目标租户分析、招商思路及进度计划、推货节奏</w:t>
      </w:r>
      <w:r>
        <w:rPr>
          <w:rFonts w:hint="eastAsia" w:ascii="宋体" w:hAnsi="宋体" w:eastAsia="宋体" w:cs="宋体"/>
          <w:color w:val="auto"/>
          <w:kern w:val="0"/>
          <w:szCs w:val="21"/>
          <w:highlight w:val="none"/>
          <w:lang w:eastAsia="zh-CN"/>
        </w:rPr>
        <w:t>、</w:t>
      </w:r>
      <w:r>
        <w:rPr>
          <w:rFonts w:hint="eastAsia" w:ascii="宋体" w:hAnsi="宋体" w:eastAsia="等线" w:cs="Times New Roman"/>
          <w:color w:val="auto"/>
          <w:kern w:val="2"/>
          <w:szCs w:val="22"/>
          <w:highlight w:val="none"/>
        </w:rPr>
        <w:t>优质客户及招商进度统筹激励</w:t>
      </w:r>
      <w:r>
        <w:rPr>
          <w:rFonts w:hint="eastAsia" w:ascii="宋体" w:hAnsi="宋体" w:eastAsia="等线" w:cs="Times New Roman"/>
          <w:color w:val="auto"/>
          <w:kern w:val="2"/>
          <w:szCs w:val="22"/>
          <w:highlight w:val="none"/>
          <w:lang w:val="en-US" w:eastAsia="zh-CN"/>
        </w:rPr>
        <w:t>机制</w:t>
      </w:r>
      <w:r>
        <w:rPr>
          <w:rFonts w:hint="eastAsia" w:ascii="宋体" w:hAnsi="宋体" w:cs="Times New Roman"/>
          <w:color w:val="auto"/>
          <w:highlight w:val="none"/>
        </w:rPr>
        <w:t>等）。</w:t>
      </w:r>
    </w:p>
    <w:p w14:paraId="6EC6D8A1">
      <w:pPr>
        <w:spacing w:line="276" w:lineRule="auto"/>
        <w:ind w:firstLine="420" w:firstLineChars="200"/>
        <w:rPr>
          <w:rFonts w:hint="eastAsia" w:ascii="宋体" w:hAnsi="宋体" w:cs="Times New Roman"/>
          <w:color w:val="auto"/>
          <w:highlight w:val="none"/>
        </w:rPr>
      </w:pPr>
      <w:r>
        <w:rPr>
          <w:rFonts w:hint="eastAsia" w:ascii="宋体" w:hAnsi="宋体" w:cs="Times New Roman"/>
          <w:color w:val="auto"/>
          <w:highlight w:val="none"/>
        </w:rPr>
        <w:t>2.制定租赁价格策略，包括：</w:t>
      </w:r>
    </w:p>
    <w:p w14:paraId="40A58C3D">
      <w:pPr>
        <w:spacing w:line="276" w:lineRule="auto"/>
        <w:ind w:firstLine="420" w:firstLineChars="200"/>
        <w:rPr>
          <w:rFonts w:hint="eastAsia" w:ascii="宋体" w:hAnsi="宋体" w:cs="Times New Roman"/>
          <w:color w:val="auto"/>
          <w:highlight w:val="none"/>
        </w:rPr>
      </w:pPr>
      <w:r>
        <w:rPr>
          <w:rFonts w:hint="eastAsia" w:ascii="宋体" w:hAnsi="宋体" w:cs="Times New Roman"/>
          <w:color w:val="auto"/>
          <w:highlight w:val="none"/>
        </w:rPr>
        <w:t>（1）通过详细且科学的宏观、微观论证，提交项目平均租赁价格建议；</w:t>
      </w:r>
    </w:p>
    <w:p w14:paraId="19870B43">
      <w:pPr>
        <w:spacing w:line="276" w:lineRule="auto"/>
        <w:ind w:firstLine="420" w:firstLineChars="200"/>
        <w:rPr>
          <w:rFonts w:hint="eastAsia" w:ascii="宋体" w:hAnsi="宋体" w:cs="Times New Roman"/>
          <w:color w:val="auto"/>
          <w:highlight w:val="none"/>
        </w:rPr>
      </w:pPr>
      <w:r>
        <w:rPr>
          <w:rFonts w:hint="eastAsia" w:ascii="宋体" w:hAnsi="宋体" w:cs="Times New Roman"/>
          <w:color w:val="auto"/>
          <w:highlight w:val="none"/>
        </w:rPr>
        <w:t>（2）建立价格体系模型，根据业态、楼层、设计、景观、朝向等因素提出详细价格建议；</w:t>
      </w:r>
    </w:p>
    <w:p w14:paraId="01CBCA8B">
      <w:pPr>
        <w:spacing w:line="276" w:lineRule="auto"/>
        <w:ind w:firstLine="420" w:firstLineChars="200"/>
        <w:rPr>
          <w:rFonts w:hint="eastAsia" w:ascii="宋体" w:hAnsi="宋体"/>
          <w:color w:val="auto"/>
          <w:highlight w:val="none"/>
        </w:rPr>
      </w:pPr>
      <w:r>
        <w:rPr>
          <w:rFonts w:hint="eastAsia" w:ascii="宋体" w:hAnsi="宋体"/>
          <w:color w:val="auto"/>
          <w:highlight w:val="none"/>
        </w:rPr>
        <w:t>（3）提出在预推、正式推出及交付等不同时期的租赁报价及底价建议，并提出相关的执行措施；</w:t>
      </w:r>
    </w:p>
    <w:p w14:paraId="627183DC">
      <w:pPr>
        <w:spacing w:line="276" w:lineRule="auto"/>
        <w:ind w:firstLine="420" w:firstLineChars="200"/>
        <w:rPr>
          <w:rFonts w:hint="eastAsia" w:ascii="宋体" w:hAnsi="宋体"/>
          <w:color w:val="auto"/>
          <w:highlight w:val="none"/>
        </w:rPr>
      </w:pPr>
      <w:r>
        <w:rPr>
          <w:rFonts w:hint="eastAsia" w:ascii="宋体" w:hAnsi="宋体"/>
          <w:color w:val="auto"/>
          <w:highlight w:val="none"/>
        </w:rPr>
        <w:t>（4）提交不同时期的租赁期限及免租期建议；</w:t>
      </w:r>
    </w:p>
    <w:p w14:paraId="0CE68965">
      <w:pPr>
        <w:spacing w:line="276" w:lineRule="auto"/>
        <w:ind w:firstLine="420" w:firstLineChars="200"/>
        <w:rPr>
          <w:rFonts w:hint="eastAsia" w:ascii="宋体" w:hAnsi="宋体"/>
          <w:color w:val="auto"/>
          <w:highlight w:val="none"/>
        </w:rPr>
      </w:pPr>
      <w:r>
        <w:rPr>
          <w:rFonts w:hint="eastAsia" w:ascii="宋体" w:hAnsi="宋体"/>
          <w:color w:val="auto"/>
          <w:highlight w:val="none"/>
        </w:rPr>
        <w:t>（5）结合市场和项目预测不同阶段的租赁价格；</w:t>
      </w:r>
    </w:p>
    <w:p w14:paraId="342BE410">
      <w:pPr>
        <w:spacing w:line="276" w:lineRule="auto"/>
        <w:ind w:firstLine="420" w:firstLineChars="200"/>
        <w:rPr>
          <w:rFonts w:hint="eastAsia" w:ascii="宋体" w:hAnsi="宋体"/>
          <w:color w:val="auto"/>
          <w:highlight w:val="none"/>
        </w:rPr>
      </w:pPr>
      <w:r>
        <w:rPr>
          <w:rFonts w:hint="eastAsia" w:ascii="宋体" w:hAnsi="宋体"/>
          <w:color w:val="auto"/>
          <w:highlight w:val="none"/>
        </w:rPr>
        <w:t>（6）招商代理佣金、中介渠道费、驻场服务费、专项奖励等建议。</w:t>
      </w:r>
    </w:p>
    <w:p w14:paraId="4714BF0F">
      <w:pPr>
        <w:spacing w:line="276" w:lineRule="auto"/>
        <w:ind w:firstLine="420" w:firstLineChars="200"/>
        <w:rPr>
          <w:rFonts w:hint="eastAsia" w:ascii="宋体" w:hAnsi="宋体"/>
          <w:color w:val="auto"/>
          <w:highlight w:val="none"/>
        </w:rPr>
      </w:pPr>
      <w:r>
        <w:rPr>
          <w:rFonts w:hint="eastAsia" w:ascii="宋体" w:hAnsi="宋体"/>
          <w:color w:val="auto"/>
          <w:highlight w:val="none"/>
        </w:rPr>
        <w:t>3.产品优化和服务建议，包括：</w:t>
      </w:r>
    </w:p>
    <w:p w14:paraId="44D224B0">
      <w:pPr>
        <w:spacing w:line="276" w:lineRule="auto"/>
        <w:ind w:firstLine="420" w:firstLineChars="200"/>
        <w:rPr>
          <w:rFonts w:hint="eastAsia" w:ascii="宋体" w:hAnsi="宋体"/>
          <w:color w:val="auto"/>
          <w:highlight w:val="none"/>
        </w:rPr>
      </w:pPr>
      <w:r>
        <w:rPr>
          <w:rFonts w:hint="eastAsia" w:ascii="宋体" w:hAnsi="宋体"/>
          <w:color w:val="auto"/>
          <w:highlight w:val="none"/>
        </w:rPr>
        <w:t>（1）写字楼建筑与租户装修优化建议（空间布局建议，根据租户对公共部分及室内的实际需求提出个性化的装修建议、配套设施建议、户型大小及主力户型建议、设备配置建议等）；</w:t>
      </w:r>
    </w:p>
    <w:p w14:paraId="6E964F30">
      <w:pPr>
        <w:spacing w:line="276" w:lineRule="auto"/>
        <w:ind w:firstLine="420" w:firstLineChars="200"/>
        <w:rPr>
          <w:rFonts w:hint="eastAsia" w:ascii="宋体" w:hAnsi="宋体"/>
          <w:color w:val="auto"/>
          <w:highlight w:val="none"/>
        </w:rPr>
      </w:pPr>
      <w:r>
        <w:rPr>
          <w:rFonts w:hint="eastAsia" w:ascii="宋体" w:hAnsi="宋体"/>
          <w:color w:val="auto"/>
          <w:highlight w:val="none"/>
        </w:rPr>
        <w:t>4.项目运营财务测算，包括：</w:t>
      </w:r>
    </w:p>
    <w:p w14:paraId="27FA68DD">
      <w:pPr>
        <w:spacing w:line="276" w:lineRule="auto"/>
        <w:ind w:firstLine="420" w:firstLineChars="200"/>
        <w:rPr>
          <w:rFonts w:hint="eastAsia" w:ascii="宋体" w:hAnsi="宋体"/>
          <w:color w:val="auto"/>
          <w:highlight w:val="none"/>
        </w:rPr>
      </w:pPr>
      <w:r>
        <w:rPr>
          <w:rFonts w:hint="eastAsia" w:ascii="宋体" w:hAnsi="宋体"/>
          <w:color w:val="auto"/>
          <w:highlight w:val="none"/>
        </w:rPr>
        <w:t>（1）全周期投资回报分析（包括不限于税前税后利润、净现值、IRR等财务指标测算）；</w:t>
      </w:r>
    </w:p>
    <w:p w14:paraId="22043926">
      <w:pPr>
        <w:spacing w:line="276" w:lineRule="auto"/>
        <w:ind w:firstLine="420" w:firstLineChars="200"/>
        <w:rPr>
          <w:rFonts w:hint="eastAsia" w:ascii="宋体" w:hAnsi="宋体"/>
          <w:color w:val="auto"/>
          <w:highlight w:val="none"/>
        </w:rPr>
      </w:pPr>
      <w:r>
        <w:rPr>
          <w:rFonts w:hint="eastAsia" w:ascii="宋体" w:hAnsi="宋体"/>
          <w:color w:val="auto"/>
          <w:highlight w:val="none"/>
        </w:rPr>
        <w:t>（2）五年运营期收支情况及现金流量分析</w:t>
      </w:r>
    </w:p>
    <w:p w14:paraId="0F5B705D">
      <w:pPr>
        <w:spacing w:line="276" w:lineRule="auto"/>
        <w:rPr>
          <w:rFonts w:hint="eastAsia" w:ascii="宋体" w:hAnsi="宋体"/>
          <w:b/>
          <w:color w:val="auto"/>
          <w:highlight w:val="none"/>
        </w:rPr>
      </w:pPr>
      <w:r>
        <w:rPr>
          <w:rFonts w:hint="eastAsia" w:ascii="宋体" w:hAnsi="宋体"/>
          <w:b/>
          <w:color w:val="auto"/>
          <w:highlight w:val="none"/>
        </w:rPr>
        <w:t>（二）招商筹备阶段的策划工作</w:t>
      </w:r>
    </w:p>
    <w:p w14:paraId="6D1B6556">
      <w:pPr>
        <w:spacing w:line="276" w:lineRule="auto"/>
        <w:ind w:firstLine="420" w:firstLineChars="200"/>
        <w:rPr>
          <w:rFonts w:hint="eastAsia" w:ascii="宋体" w:hAnsi="宋体"/>
          <w:color w:val="auto"/>
          <w:highlight w:val="none"/>
        </w:rPr>
      </w:pPr>
      <w:r>
        <w:rPr>
          <w:rFonts w:hint="eastAsia" w:ascii="宋体" w:hAnsi="宋体"/>
          <w:color w:val="auto"/>
          <w:highlight w:val="none"/>
        </w:rPr>
        <w:t>1.制定有效的品牌宣传整体策略及宣传物料</w:t>
      </w:r>
    </w:p>
    <w:p w14:paraId="2170D0C3">
      <w:pPr>
        <w:spacing w:line="276" w:lineRule="auto"/>
        <w:ind w:firstLine="420" w:firstLineChars="200"/>
        <w:rPr>
          <w:rFonts w:hint="eastAsia" w:ascii="宋体" w:hAnsi="宋体"/>
          <w:color w:val="auto"/>
          <w:highlight w:val="none"/>
        </w:rPr>
      </w:pPr>
      <w:r>
        <w:rPr>
          <w:rFonts w:hint="eastAsia" w:ascii="宋体" w:hAnsi="宋体"/>
          <w:color w:val="auto"/>
          <w:highlight w:val="none"/>
        </w:rPr>
        <w:t>（1）提交并详细沟通项目定位内涵，配合广告公司进行品牌开解、方案意念和指导思想的整体设计；</w:t>
      </w:r>
    </w:p>
    <w:p w14:paraId="1F17CBC2">
      <w:pPr>
        <w:spacing w:line="276" w:lineRule="auto"/>
        <w:ind w:firstLine="420" w:firstLineChars="200"/>
        <w:rPr>
          <w:rFonts w:hint="eastAsia" w:ascii="宋体" w:hAnsi="宋体"/>
          <w:color w:val="auto"/>
          <w:highlight w:val="none"/>
        </w:rPr>
      </w:pPr>
      <w:r>
        <w:rPr>
          <w:rFonts w:hint="eastAsia" w:ascii="宋体" w:hAnsi="宋体"/>
          <w:color w:val="auto"/>
          <w:highlight w:val="none"/>
        </w:rPr>
        <w:t>（2）制定有效的品牌宣传策略、市场推广计划、媒介计划、公关活动计划、整体炒作部署等；</w:t>
      </w:r>
    </w:p>
    <w:p w14:paraId="2148B092">
      <w:pPr>
        <w:spacing w:line="276" w:lineRule="auto"/>
        <w:ind w:firstLine="420" w:firstLineChars="200"/>
        <w:rPr>
          <w:rFonts w:hint="eastAsia" w:ascii="宋体" w:hAnsi="宋体"/>
          <w:color w:val="auto"/>
          <w:highlight w:val="none"/>
        </w:rPr>
      </w:pPr>
      <w:r>
        <w:rPr>
          <w:rFonts w:hint="eastAsia" w:ascii="宋体" w:hAnsi="宋体"/>
          <w:color w:val="auto"/>
          <w:highlight w:val="none"/>
        </w:rPr>
        <w:t>（3）结合项目定位，对招商中心和样板间设计与安装提出需求，协助设计单位制定招商中心与样板间的设计方案，并配合安装单位完成招商中心与样板间的安装布置；</w:t>
      </w:r>
    </w:p>
    <w:p w14:paraId="427F9118">
      <w:pPr>
        <w:spacing w:line="276" w:lineRule="auto"/>
        <w:ind w:firstLine="420" w:firstLineChars="200"/>
        <w:rPr>
          <w:rFonts w:hint="eastAsia" w:ascii="宋体" w:hAnsi="宋体"/>
          <w:color w:val="auto"/>
          <w:highlight w:val="none"/>
        </w:rPr>
      </w:pPr>
      <w:r>
        <w:rPr>
          <w:rFonts w:hint="eastAsia" w:ascii="宋体" w:hAnsi="宋体"/>
          <w:color w:val="auto"/>
          <w:highlight w:val="none"/>
        </w:rPr>
        <w:t>（4）统筹宣传物料的设计和制作，对制作的项目、风格、内容、形式、数量等提供策略建议，包括但不限于：项目宣传册（楼书）、概述宣传册（折页）、影视宣传片及广告片、模型制作、平面广告、网络广告、新媒体广告、VI标识、现场包装、展板、信纸信签信封、明信片、艺术纪念品、礼品、电子群发邮件、名片、多媒体演示PPT、用户装修指南、租赁手册等；</w:t>
      </w:r>
    </w:p>
    <w:p w14:paraId="4C048E8D">
      <w:pPr>
        <w:spacing w:line="276" w:lineRule="auto"/>
        <w:ind w:firstLine="420" w:firstLineChars="200"/>
        <w:rPr>
          <w:rFonts w:hint="eastAsia" w:ascii="宋体" w:hAnsi="宋体"/>
          <w:color w:val="auto"/>
          <w:highlight w:val="none"/>
        </w:rPr>
      </w:pPr>
      <w:r>
        <w:rPr>
          <w:rFonts w:hint="eastAsia" w:ascii="宋体" w:hAnsi="宋体"/>
          <w:color w:val="auto"/>
          <w:highlight w:val="none"/>
        </w:rPr>
        <w:t xml:space="preserve">2.协助业主方组建招商团队 </w:t>
      </w:r>
    </w:p>
    <w:p w14:paraId="0D3FCA4E">
      <w:pPr>
        <w:spacing w:line="276" w:lineRule="auto"/>
        <w:ind w:firstLine="420" w:firstLineChars="200"/>
        <w:rPr>
          <w:rFonts w:hint="eastAsia" w:ascii="宋体" w:hAnsi="宋体"/>
          <w:color w:val="auto"/>
          <w:highlight w:val="none"/>
        </w:rPr>
      </w:pPr>
      <w:r>
        <w:rPr>
          <w:rFonts w:hint="eastAsia" w:ascii="宋体" w:hAnsi="宋体"/>
          <w:color w:val="auto"/>
          <w:highlight w:val="none"/>
        </w:rPr>
        <w:t>（1）招商团队管理架构设计；</w:t>
      </w:r>
    </w:p>
    <w:p w14:paraId="085FA4FF">
      <w:pPr>
        <w:spacing w:line="276" w:lineRule="auto"/>
        <w:ind w:firstLine="420" w:firstLineChars="200"/>
        <w:rPr>
          <w:rFonts w:hint="eastAsia" w:ascii="宋体" w:hAnsi="宋体"/>
          <w:color w:val="auto"/>
          <w:highlight w:val="none"/>
        </w:rPr>
      </w:pPr>
      <w:r>
        <w:rPr>
          <w:rFonts w:hint="eastAsia" w:ascii="宋体" w:hAnsi="宋体"/>
          <w:color w:val="auto"/>
          <w:highlight w:val="none"/>
        </w:rPr>
        <w:t>（2）岗位职责制度制定；</w:t>
      </w:r>
    </w:p>
    <w:p w14:paraId="6F175003">
      <w:pPr>
        <w:spacing w:line="276" w:lineRule="auto"/>
        <w:ind w:firstLine="420" w:firstLineChars="200"/>
        <w:rPr>
          <w:rFonts w:hint="eastAsia" w:ascii="宋体" w:hAnsi="宋体"/>
          <w:color w:val="auto"/>
          <w:highlight w:val="none"/>
        </w:rPr>
      </w:pPr>
      <w:r>
        <w:rPr>
          <w:rFonts w:hint="eastAsia" w:ascii="宋体" w:hAnsi="宋体"/>
          <w:color w:val="auto"/>
          <w:highlight w:val="none"/>
        </w:rPr>
        <w:t>（3）接待中心管理制度制定；</w:t>
      </w:r>
    </w:p>
    <w:p w14:paraId="1295F66E">
      <w:pPr>
        <w:spacing w:line="276" w:lineRule="auto"/>
        <w:ind w:firstLine="420" w:firstLineChars="200"/>
        <w:rPr>
          <w:rFonts w:hint="eastAsia" w:ascii="宋体" w:hAnsi="宋体"/>
          <w:color w:val="auto"/>
          <w:highlight w:val="none"/>
        </w:rPr>
      </w:pPr>
      <w:r>
        <w:rPr>
          <w:rFonts w:hint="eastAsia" w:ascii="宋体" w:hAnsi="宋体"/>
          <w:color w:val="auto"/>
          <w:highlight w:val="none"/>
        </w:rPr>
        <w:t>（4）协助业主方进行招商工作审批流程制定及规范（含招商接待、洽谈、签约及租金收缴等）；</w:t>
      </w:r>
    </w:p>
    <w:p w14:paraId="6D0A6755">
      <w:pPr>
        <w:spacing w:line="276" w:lineRule="auto"/>
        <w:ind w:firstLine="420" w:firstLineChars="200"/>
        <w:rPr>
          <w:rFonts w:hint="eastAsia" w:ascii="宋体" w:hAnsi="宋体"/>
          <w:color w:val="auto"/>
          <w:highlight w:val="none"/>
        </w:rPr>
      </w:pPr>
      <w:r>
        <w:rPr>
          <w:rFonts w:hint="eastAsia" w:ascii="宋体" w:hAnsi="宋体"/>
          <w:color w:val="auto"/>
          <w:highlight w:val="none"/>
        </w:rPr>
        <w:t>（5）招商团队的业务培训，包括：市场资讯、服务规范、针对不同类型客户的谈判策略及技巧等。</w:t>
      </w:r>
    </w:p>
    <w:p w14:paraId="6EB674D5">
      <w:pPr>
        <w:spacing w:line="276" w:lineRule="auto"/>
        <w:ind w:firstLine="420" w:firstLineChars="200"/>
        <w:rPr>
          <w:rFonts w:hint="eastAsia" w:ascii="宋体" w:hAnsi="宋体"/>
          <w:color w:val="auto"/>
          <w:highlight w:val="none"/>
        </w:rPr>
      </w:pPr>
      <w:r>
        <w:rPr>
          <w:rFonts w:hint="eastAsia" w:ascii="宋体" w:hAnsi="宋体"/>
          <w:color w:val="auto"/>
          <w:highlight w:val="none"/>
        </w:rPr>
        <w:t>3.提供租赁相关文件版本，配合业主方拟定租赁文件，包括但不限于：客户咨询登记表、客户确认书、佣金确认书、认租须知、租赁意向书、租赁合同、物业管理公约、用户手册、装修指南等。</w:t>
      </w:r>
    </w:p>
    <w:p w14:paraId="36346AEC">
      <w:pPr>
        <w:spacing w:line="276" w:lineRule="auto"/>
        <w:ind w:firstLine="420" w:firstLineChars="200"/>
        <w:rPr>
          <w:rFonts w:hint="eastAsia" w:ascii="宋体" w:hAnsi="宋体"/>
          <w:color w:val="auto"/>
          <w:highlight w:val="none"/>
        </w:rPr>
      </w:pPr>
      <w:r>
        <w:rPr>
          <w:rFonts w:hint="eastAsia" w:ascii="宋体" w:hAnsi="宋体"/>
          <w:color w:val="auto"/>
          <w:highlight w:val="none"/>
        </w:rPr>
        <w:t>4.根据项目定位及实际施工状况，提交招商接待中心、示范单元、参观通道的装修及包装建议方案，并负责统筹及落实。</w:t>
      </w:r>
    </w:p>
    <w:p w14:paraId="7DFC9760">
      <w:pPr>
        <w:spacing w:line="276" w:lineRule="auto"/>
        <w:rPr>
          <w:rFonts w:hint="eastAsia" w:ascii="宋体" w:hAnsi="宋体"/>
          <w:b/>
          <w:color w:val="auto"/>
          <w:highlight w:val="none"/>
        </w:rPr>
      </w:pPr>
      <w:r>
        <w:rPr>
          <w:rFonts w:hint="eastAsia" w:ascii="宋体" w:hAnsi="宋体"/>
          <w:b/>
          <w:color w:val="auto"/>
          <w:highlight w:val="none"/>
        </w:rPr>
        <w:t>（三）正式招商阶段的工作</w:t>
      </w:r>
    </w:p>
    <w:p w14:paraId="74C6757B">
      <w:pPr>
        <w:spacing w:line="276" w:lineRule="auto"/>
        <w:ind w:firstLine="420" w:firstLineChars="200"/>
        <w:rPr>
          <w:rFonts w:hint="eastAsia" w:ascii="宋体" w:hAnsi="宋体"/>
          <w:color w:val="auto"/>
          <w:highlight w:val="none"/>
        </w:rPr>
      </w:pPr>
      <w:r>
        <w:rPr>
          <w:rFonts w:hint="eastAsia" w:ascii="宋体" w:hAnsi="宋体"/>
          <w:color w:val="auto"/>
          <w:highlight w:val="none"/>
        </w:rPr>
        <w:t>1.进行招商现场日常运营管理</w:t>
      </w:r>
    </w:p>
    <w:p w14:paraId="1CC21935">
      <w:pPr>
        <w:spacing w:line="276" w:lineRule="auto"/>
        <w:ind w:firstLine="420" w:firstLineChars="200"/>
        <w:rPr>
          <w:rFonts w:hint="eastAsia" w:ascii="宋体" w:hAnsi="宋体"/>
          <w:color w:val="auto"/>
          <w:highlight w:val="none"/>
        </w:rPr>
      </w:pPr>
      <w:r>
        <w:rPr>
          <w:rFonts w:hint="eastAsia" w:ascii="宋体" w:hAnsi="宋体"/>
          <w:color w:val="auto"/>
          <w:highlight w:val="none"/>
        </w:rPr>
        <w:t>（1）现场来访商户的接待和项目介绍；</w:t>
      </w:r>
    </w:p>
    <w:p w14:paraId="266A29E5">
      <w:pPr>
        <w:spacing w:line="276" w:lineRule="auto"/>
        <w:ind w:firstLine="420" w:firstLineChars="200"/>
        <w:rPr>
          <w:rFonts w:hint="eastAsia" w:ascii="宋体" w:hAnsi="宋体"/>
          <w:color w:val="auto"/>
          <w:highlight w:val="none"/>
        </w:rPr>
      </w:pPr>
      <w:r>
        <w:rPr>
          <w:rFonts w:hint="eastAsia" w:ascii="宋体" w:hAnsi="宋体"/>
          <w:color w:val="auto"/>
          <w:highlight w:val="none"/>
        </w:rPr>
        <w:t>（2）带看项目，详细介绍项目、环境、功能、前景；</w:t>
      </w:r>
    </w:p>
    <w:p w14:paraId="10C5FF02">
      <w:pPr>
        <w:spacing w:line="276" w:lineRule="auto"/>
        <w:ind w:firstLine="420" w:firstLineChars="200"/>
        <w:rPr>
          <w:rFonts w:hint="eastAsia" w:ascii="宋体" w:hAnsi="宋体"/>
          <w:color w:val="auto"/>
          <w:highlight w:val="none"/>
        </w:rPr>
      </w:pPr>
      <w:r>
        <w:rPr>
          <w:rFonts w:hint="eastAsia" w:ascii="宋体" w:hAnsi="宋体"/>
          <w:color w:val="auto"/>
          <w:highlight w:val="none"/>
        </w:rPr>
        <w:t>（3）电话接听、跟踪和拜访；</w:t>
      </w:r>
    </w:p>
    <w:p w14:paraId="05DA97CA">
      <w:pPr>
        <w:spacing w:line="276" w:lineRule="auto"/>
        <w:ind w:firstLine="420" w:firstLineChars="200"/>
        <w:rPr>
          <w:rFonts w:hint="eastAsia" w:ascii="宋体" w:hAnsi="宋体"/>
          <w:color w:val="auto"/>
          <w:highlight w:val="none"/>
        </w:rPr>
      </w:pPr>
      <w:r>
        <w:rPr>
          <w:rFonts w:hint="eastAsia" w:ascii="宋体" w:hAnsi="宋体"/>
          <w:color w:val="auto"/>
          <w:highlight w:val="none"/>
        </w:rPr>
        <w:t>（4）协助业主方签订租赁合同；</w:t>
      </w:r>
    </w:p>
    <w:p w14:paraId="5FD8A8BB">
      <w:pPr>
        <w:spacing w:line="276" w:lineRule="auto"/>
        <w:ind w:firstLine="420" w:firstLineChars="200"/>
        <w:rPr>
          <w:rFonts w:hint="eastAsia" w:ascii="宋体" w:hAnsi="宋体"/>
          <w:color w:val="auto"/>
          <w:highlight w:val="none"/>
        </w:rPr>
      </w:pPr>
      <w:r>
        <w:rPr>
          <w:rFonts w:hint="eastAsia" w:ascii="宋体" w:hAnsi="宋体"/>
          <w:color w:val="auto"/>
          <w:highlight w:val="none"/>
        </w:rPr>
        <w:t>（5）协调处理与第三方代理、中介等业务关系。</w:t>
      </w:r>
    </w:p>
    <w:p w14:paraId="4BBB866F">
      <w:pPr>
        <w:spacing w:line="276" w:lineRule="auto"/>
        <w:ind w:firstLine="420" w:firstLineChars="200"/>
        <w:rPr>
          <w:rFonts w:hint="eastAsia" w:ascii="宋体" w:hAnsi="宋体"/>
          <w:color w:val="auto"/>
          <w:highlight w:val="none"/>
        </w:rPr>
      </w:pPr>
      <w:r>
        <w:rPr>
          <w:rFonts w:hint="eastAsia" w:ascii="宋体" w:hAnsi="宋体"/>
          <w:color w:val="auto"/>
          <w:highlight w:val="none"/>
        </w:rPr>
        <w:t>2.对招商工作执行进度把控，包括制定明确的工作清单、工作节点和完成效果等</w:t>
      </w:r>
    </w:p>
    <w:p w14:paraId="4C82ED49">
      <w:pPr>
        <w:spacing w:line="276" w:lineRule="auto"/>
        <w:ind w:firstLine="420" w:firstLineChars="200"/>
        <w:rPr>
          <w:rFonts w:hint="eastAsia" w:ascii="宋体" w:hAnsi="宋体"/>
          <w:color w:val="auto"/>
          <w:highlight w:val="none"/>
        </w:rPr>
      </w:pPr>
      <w:r>
        <w:rPr>
          <w:rFonts w:hint="eastAsia" w:ascii="宋体" w:hAnsi="宋体"/>
          <w:color w:val="auto"/>
          <w:highlight w:val="none"/>
        </w:rPr>
        <w:t>3.适时调整招商策略</w:t>
      </w:r>
    </w:p>
    <w:p w14:paraId="09FF8C28">
      <w:pPr>
        <w:spacing w:line="276" w:lineRule="auto"/>
        <w:ind w:firstLine="420" w:firstLineChars="200"/>
        <w:rPr>
          <w:rFonts w:hint="eastAsia" w:ascii="宋体" w:hAnsi="宋体"/>
          <w:color w:val="auto"/>
          <w:highlight w:val="none"/>
        </w:rPr>
      </w:pPr>
      <w:r>
        <w:rPr>
          <w:rFonts w:hint="eastAsia" w:ascii="宋体" w:hAnsi="宋体"/>
          <w:color w:val="auto"/>
          <w:highlight w:val="none"/>
        </w:rPr>
        <w:t>（1）提供招商例行工作报告，反馈市场信息及竞争对手信息（每周提供招商例行工作报告、每月或每季提交市场分析报告，逢每季度末和年末，应有对整个季度和年度的总结分析）；</w:t>
      </w:r>
    </w:p>
    <w:p w14:paraId="1F66838E">
      <w:pPr>
        <w:spacing w:line="276" w:lineRule="auto"/>
        <w:ind w:firstLine="420" w:firstLineChars="200"/>
        <w:rPr>
          <w:rFonts w:hint="eastAsia" w:ascii="宋体" w:hAnsi="宋体"/>
          <w:color w:val="auto"/>
          <w:highlight w:val="none"/>
        </w:rPr>
      </w:pPr>
      <w:r>
        <w:rPr>
          <w:rFonts w:hint="eastAsia" w:ascii="宋体" w:hAnsi="宋体"/>
          <w:color w:val="auto"/>
          <w:highlight w:val="none"/>
        </w:rPr>
        <w:t>（2）按市场需要调整招商、推广策略，根据招商周期需要制定年度周期性宣传推广方案及费用预算（提交年度租赁策划方案总结及下年方案计划）；</w:t>
      </w:r>
    </w:p>
    <w:p w14:paraId="35DD22CB">
      <w:pPr>
        <w:spacing w:line="276" w:lineRule="auto"/>
        <w:ind w:firstLine="420" w:firstLineChars="200"/>
        <w:rPr>
          <w:rFonts w:hint="eastAsia" w:ascii="宋体" w:hAnsi="宋体"/>
          <w:color w:val="auto"/>
          <w:highlight w:val="none"/>
        </w:rPr>
      </w:pPr>
      <w:r>
        <w:rPr>
          <w:rFonts w:hint="eastAsia" w:ascii="宋体" w:hAnsi="宋体"/>
          <w:color w:val="auto"/>
          <w:highlight w:val="none"/>
        </w:rPr>
        <w:t>4.服务期内常规工作</w:t>
      </w:r>
    </w:p>
    <w:p w14:paraId="5CA14CED">
      <w:pPr>
        <w:spacing w:line="276" w:lineRule="auto"/>
        <w:ind w:firstLine="420" w:firstLineChars="200"/>
        <w:rPr>
          <w:rFonts w:hint="eastAsia" w:ascii="宋体" w:hAnsi="宋体"/>
          <w:color w:val="auto"/>
          <w:highlight w:val="none"/>
        </w:rPr>
      </w:pPr>
      <w:r>
        <w:rPr>
          <w:rFonts w:hint="eastAsia" w:ascii="宋体" w:hAnsi="宋体"/>
          <w:color w:val="auto"/>
          <w:highlight w:val="none"/>
        </w:rPr>
        <w:t>（1）阶段性会议（周、月、季度例会及其他临时紧急会议）；</w:t>
      </w:r>
    </w:p>
    <w:p w14:paraId="14FF1FF8">
      <w:pPr>
        <w:spacing w:line="276" w:lineRule="auto"/>
        <w:ind w:firstLine="420" w:firstLineChars="200"/>
        <w:rPr>
          <w:rFonts w:hint="eastAsia" w:ascii="宋体" w:hAnsi="宋体"/>
          <w:color w:val="auto"/>
          <w:highlight w:val="none"/>
        </w:rPr>
      </w:pPr>
      <w:r>
        <w:rPr>
          <w:rFonts w:hint="eastAsia" w:ascii="宋体" w:hAnsi="宋体"/>
          <w:color w:val="auto"/>
          <w:highlight w:val="none"/>
        </w:rPr>
        <w:t>（2）每月提交项目周边市场租金更新情况；</w:t>
      </w:r>
    </w:p>
    <w:p w14:paraId="49484839">
      <w:pPr>
        <w:spacing w:line="276" w:lineRule="auto"/>
        <w:ind w:firstLine="420" w:firstLineChars="200"/>
        <w:rPr>
          <w:rFonts w:hint="eastAsia" w:ascii="宋体" w:hAnsi="宋体"/>
          <w:color w:val="auto"/>
          <w:highlight w:val="none"/>
        </w:rPr>
      </w:pPr>
      <w:r>
        <w:rPr>
          <w:rFonts w:hint="eastAsia" w:ascii="宋体" w:hAnsi="宋体"/>
          <w:color w:val="auto"/>
          <w:highlight w:val="none"/>
        </w:rPr>
        <w:t>（3）每月对项目主要竞争对手及新竞争对手进行及时调查，包括竞争对手招商动态、招商与推广策略进行跟踪分析并形成完整报告，针对本项目及时提出相应建议；</w:t>
      </w:r>
    </w:p>
    <w:p w14:paraId="29BDB8B9">
      <w:pPr>
        <w:spacing w:line="276" w:lineRule="auto"/>
        <w:ind w:firstLine="420" w:firstLineChars="200"/>
        <w:rPr>
          <w:rFonts w:hint="eastAsia" w:ascii="宋体" w:hAnsi="宋体"/>
          <w:color w:val="auto"/>
          <w:highlight w:val="none"/>
        </w:rPr>
      </w:pPr>
      <w:r>
        <w:rPr>
          <w:rFonts w:hint="eastAsia" w:ascii="宋体" w:hAnsi="宋体"/>
          <w:color w:val="auto"/>
          <w:highlight w:val="none"/>
        </w:rPr>
        <w:t>（4）提供各阶段招商工作的总结报告；</w:t>
      </w:r>
    </w:p>
    <w:p w14:paraId="476D3DDC">
      <w:pPr>
        <w:spacing w:line="276" w:lineRule="auto"/>
        <w:ind w:firstLine="420" w:firstLineChars="200"/>
        <w:jc w:val="left"/>
        <w:rPr>
          <w:rFonts w:hint="eastAsia" w:ascii="宋体" w:hAnsi="宋体"/>
          <w:color w:val="auto"/>
          <w:szCs w:val="21"/>
          <w:highlight w:val="none"/>
        </w:rPr>
      </w:pPr>
      <w:r>
        <w:rPr>
          <w:rFonts w:hint="eastAsia" w:ascii="宋体" w:hAnsi="宋体"/>
          <w:color w:val="auto"/>
          <w:highlight w:val="none"/>
        </w:rPr>
        <w:t>（5）其他协助性工作。</w:t>
      </w:r>
    </w:p>
    <w:p w14:paraId="191CF66E">
      <w:pPr>
        <w:spacing w:line="500" w:lineRule="exact"/>
        <w:jc w:val="left"/>
        <w:rPr>
          <w:rFonts w:hint="eastAsia" w:ascii="宋体" w:hAnsi="宋体"/>
          <w:color w:val="auto"/>
          <w:szCs w:val="21"/>
          <w:highlight w:val="none"/>
        </w:rPr>
      </w:pPr>
    </w:p>
    <w:p w14:paraId="19C2BD83">
      <w:pPr>
        <w:rPr>
          <w:rFonts w:hint="eastAsia" w:ascii="宋体" w:hAnsi="宋体"/>
          <w:color w:val="auto"/>
          <w:highlight w:val="none"/>
        </w:rPr>
      </w:pPr>
      <w:bookmarkStart w:id="493" w:name="_Toc459571397"/>
      <w:r>
        <w:rPr>
          <w:rFonts w:ascii="宋体" w:hAnsi="宋体"/>
          <w:color w:val="auto"/>
          <w:highlight w:val="none"/>
        </w:rPr>
        <w:br w:type="page"/>
      </w:r>
    </w:p>
    <w:p w14:paraId="0ADA8E1D">
      <w:pPr>
        <w:pStyle w:val="3"/>
        <w:spacing w:before="93" w:beforeLines="30" w:after="0" w:line="360" w:lineRule="auto"/>
        <w:rPr>
          <w:rFonts w:hint="eastAsia" w:ascii="宋体" w:hAnsi="宋体" w:eastAsia="宋体"/>
          <w:color w:val="auto"/>
          <w:sz w:val="21"/>
          <w:szCs w:val="24"/>
          <w:highlight w:val="none"/>
        </w:rPr>
      </w:pPr>
      <w:bookmarkStart w:id="494" w:name="_Toc20727"/>
      <w:r>
        <w:rPr>
          <w:rFonts w:ascii="宋体" w:hAnsi="宋体" w:eastAsia="宋体"/>
          <w:color w:val="auto"/>
          <w:sz w:val="21"/>
          <w:szCs w:val="24"/>
          <w:highlight w:val="none"/>
        </w:rPr>
        <w:t>合同</w:t>
      </w:r>
      <w:r>
        <w:rPr>
          <w:rFonts w:hint="eastAsia" w:ascii="宋体" w:hAnsi="宋体" w:eastAsia="宋体"/>
          <w:color w:val="auto"/>
          <w:sz w:val="21"/>
          <w:szCs w:val="24"/>
          <w:highlight w:val="none"/>
        </w:rPr>
        <w:t>附件三：乙方服务团队清单</w:t>
      </w:r>
      <w:bookmarkEnd w:id="493"/>
      <w:bookmarkEnd w:id="494"/>
    </w:p>
    <w:p w14:paraId="1A461F24">
      <w:pPr>
        <w:rPr>
          <w:rFonts w:hint="eastAsia" w:ascii="宋体" w:hAnsi="宋体"/>
          <w:color w:val="auto"/>
          <w:highlight w:val="none"/>
        </w:rPr>
      </w:pPr>
    </w:p>
    <w:tbl>
      <w:tblPr>
        <w:tblStyle w:val="32"/>
        <w:tblW w:w="4911"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0" w:type="dxa"/>
          <w:bottom w:w="0" w:type="dxa"/>
          <w:right w:w="0" w:type="dxa"/>
        </w:tblCellMar>
      </w:tblPr>
      <w:tblGrid>
        <w:gridCol w:w="274"/>
        <w:gridCol w:w="844"/>
        <w:gridCol w:w="697"/>
        <w:gridCol w:w="382"/>
        <w:gridCol w:w="88"/>
        <w:gridCol w:w="416"/>
        <w:gridCol w:w="883"/>
        <w:gridCol w:w="305"/>
        <w:gridCol w:w="1299"/>
        <w:gridCol w:w="679"/>
        <w:gridCol w:w="620"/>
        <w:gridCol w:w="524"/>
        <w:gridCol w:w="495"/>
        <w:gridCol w:w="652"/>
      </w:tblGrid>
      <w:tr w14:paraId="230FB1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gridAfter w:val="1"/>
          <w:wAfter w:w="397" w:type="pct"/>
          <w:trHeight w:val="90" w:hRule="exact"/>
          <w:jc w:val="center"/>
        </w:trPr>
        <w:tc>
          <w:tcPr>
            <w:tcW w:w="168" w:type="pct"/>
            <w:tcBorders>
              <w:top w:val="nil"/>
              <w:left w:val="nil"/>
              <w:bottom w:val="nil"/>
              <w:right w:val="nil"/>
            </w:tcBorders>
            <w:noWrap w:val="0"/>
            <w:vAlign w:val="center"/>
          </w:tcPr>
          <w:p w14:paraId="7C434F63">
            <w:pPr>
              <w:rPr>
                <w:rFonts w:hint="eastAsia" w:ascii="宋体" w:hAnsi="宋体"/>
                <w:color w:val="auto"/>
                <w:sz w:val="2"/>
                <w:highlight w:val="none"/>
              </w:rPr>
            </w:pPr>
            <w:bookmarkStart w:id="495" w:name="_cc6b63e2_fad3_4b1b_a7ba_bc4f6c031ca9"/>
          </w:p>
        </w:tc>
        <w:tc>
          <w:tcPr>
            <w:tcW w:w="517" w:type="pct"/>
            <w:tcBorders>
              <w:top w:val="nil"/>
              <w:left w:val="nil"/>
              <w:bottom w:val="nil"/>
              <w:right w:val="nil"/>
            </w:tcBorders>
            <w:noWrap w:val="0"/>
            <w:vAlign w:val="center"/>
          </w:tcPr>
          <w:p w14:paraId="78029C52">
            <w:pPr>
              <w:rPr>
                <w:rFonts w:hint="eastAsia" w:ascii="宋体" w:hAnsi="宋体"/>
                <w:color w:val="auto"/>
                <w:sz w:val="2"/>
                <w:highlight w:val="none"/>
              </w:rPr>
            </w:pPr>
          </w:p>
        </w:tc>
        <w:tc>
          <w:tcPr>
            <w:tcW w:w="427" w:type="pct"/>
            <w:tcBorders>
              <w:top w:val="nil"/>
              <w:left w:val="nil"/>
              <w:bottom w:val="nil"/>
              <w:right w:val="nil"/>
            </w:tcBorders>
            <w:noWrap w:val="0"/>
            <w:vAlign w:val="center"/>
          </w:tcPr>
          <w:p w14:paraId="1D4B5358">
            <w:pPr>
              <w:rPr>
                <w:rFonts w:hint="eastAsia" w:ascii="宋体" w:hAnsi="宋体"/>
                <w:color w:val="auto"/>
                <w:sz w:val="2"/>
                <w:highlight w:val="none"/>
              </w:rPr>
            </w:pPr>
          </w:p>
        </w:tc>
        <w:tc>
          <w:tcPr>
            <w:tcW w:w="234" w:type="pct"/>
            <w:tcBorders>
              <w:top w:val="nil"/>
              <w:left w:val="nil"/>
              <w:bottom w:val="nil"/>
              <w:right w:val="nil"/>
            </w:tcBorders>
            <w:noWrap w:val="0"/>
            <w:vAlign w:val="center"/>
          </w:tcPr>
          <w:p w14:paraId="2A4FF711">
            <w:pPr>
              <w:rPr>
                <w:rFonts w:hint="eastAsia" w:ascii="宋体" w:hAnsi="宋体"/>
                <w:color w:val="auto"/>
                <w:sz w:val="2"/>
                <w:highlight w:val="none"/>
              </w:rPr>
            </w:pPr>
          </w:p>
        </w:tc>
        <w:tc>
          <w:tcPr>
            <w:tcW w:w="309" w:type="pct"/>
            <w:gridSpan w:val="2"/>
            <w:tcBorders>
              <w:top w:val="nil"/>
              <w:left w:val="nil"/>
              <w:bottom w:val="nil"/>
              <w:right w:val="nil"/>
            </w:tcBorders>
            <w:noWrap w:val="0"/>
            <w:vAlign w:val="center"/>
          </w:tcPr>
          <w:p w14:paraId="424F7B88">
            <w:pPr>
              <w:rPr>
                <w:rFonts w:hint="eastAsia" w:ascii="宋体" w:hAnsi="宋体"/>
                <w:color w:val="auto"/>
                <w:sz w:val="2"/>
                <w:highlight w:val="none"/>
              </w:rPr>
            </w:pPr>
          </w:p>
        </w:tc>
        <w:tc>
          <w:tcPr>
            <w:tcW w:w="728" w:type="pct"/>
            <w:gridSpan w:val="2"/>
            <w:tcBorders>
              <w:top w:val="nil"/>
              <w:left w:val="nil"/>
              <w:bottom w:val="nil"/>
              <w:right w:val="nil"/>
            </w:tcBorders>
            <w:noWrap w:val="0"/>
            <w:vAlign w:val="center"/>
          </w:tcPr>
          <w:p w14:paraId="41EAC2E0">
            <w:pPr>
              <w:spacing w:line="360" w:lineRule="auto"/>
              <w:contextualSpacing/>
              <w:jc w:val="center"/>
              <w:rPr>
                <w:rFonts w:hint="eastAsia" w:ascii="宋体" w:hAnsi="宋体"/>
                <w:bCs/>
                <w:color w:val="auto"/>
                <w:szCs w:val="21"/>
                <w:highlight w:val="none"/>
              </w:rPr>
            </w:pPr>
          </w:p>
          <w:p w14:paraId="45345039">
            <w:pPr>
              <w:rPr>
                <w:rFonts w:hint="eastAsia" w:ascii="宋体" w:hAnsi="宋体"/>
                <w:color w:val="auto"/>
                <w:sz w:val="2"/>
                <w:highlight w:val="none"/>
              </w:rPr>
            </w:pPr>
          </w:p>
        </w:tc>
        <w:tc>
          <w:tcPr>
            <w:tcW w:w="796" w:type="pct"/>
            <w:tcBorders>
              <w:top w:val="nil"/>
              <w:left w:val="nil"/>
              <w:bottom w:val="nil"/>
              <w:right w:val="nil"/>
            </w:tcBorders>
            <w:noWrap w:val="0"/>
            <w:vAlign w:val="center"/>
          </w:tcPr>
          <w:p w14:paraId="5D3A20A5">
            <w:pPr>
              <w:rPr>
                <w:rFonts w:hint="eastAsia" w:ascii="宋体" w:hAnsi="宋体"/>
                <w:color w:val="auto"/>
                <w:sz w:val="2"/>
                <w:highlight w:val="none"/>
              </w:rPr>
            </w:pPr>
          </w:p>
        </w:tc>
        <w:tc>
          <w:tcPr>
            <w:tcW w:w="796" w:type="pct"/>
            <w:gridSpan w:val="2"/>
            <w:tcBorders>
              <w:top w:val="nil"/>
              <w:left w:val="nil"/>
              <w:bottom w:val="nil"/>
              <w:right w:val="nil"/>
            </w:tcBorders>
            <w:noWrap w:val="0"/>
            <w:vAlign w:val="center"/>
          </w:tcPr>
          <w:p w14:paraId="62511E8D">
            <w:pPr>
              <w:spacing w:line="360" w:lineRule="auto"/>
              <w:contextualSpacing/>
              <w:jc w:val="center"/>
              <w:rPr>
                <w:rFonts w:hint="eastAsia" w:ascii="宋体" w:hAnsi="宋体"/>
                <w:bCs/>
                <w:color w:val="auto"/>
                <w:szCs w:val="21"/>
                <w:highlight w:val="none"/>
              </w:rPr>
            </w:pPr>
          </w:p>
          <w:p w14:paraId="1C68FD05">
            <w:pPr>
              <w:rPr>
                <w:rFonts w:hint="eastAsia" w:ascii="宋体" w:hAnsi="宋体"/>
                <w:color w:val="auto"/>
                <w:sz w:val="2"/>
                <w:highlight w:val="none"/>
              </w:rPr>
            </w:pPr>
          </w:p>
        </w:tc>
        <w:tc>
          <w:tcPr>
            <w:tcW w:w="321" w:type="pct"/>
            <w:tcBorders>
              <w:top w:val="nil"/>
              <w:left w:val="nil"/>
              <w:bottom w:val="nil"/>
              <w:right w:val="nil"/>
            </w:tcBorders>
            <w:noWrap w:val="0"/>
            <w:vAlign w:val="center"/>
          </w:tcPr>
          <w:p w14:paraId="44B85C98">
            <w:pPr>
              <w:rPr>
                <w:rFonts w:hint="eastAsia" w:ascii="宋体" w:hAnsi="宋体"/>
                <w:color w:val="auto"/>
                <w:sz w:val="2"/>
                <w:highlight w:val="none"/>
              </w:rPr>
            </w:pPr>
          </w:p>
        </w:tc>
        <w:tc>
          <w:tcPr>
            <w:tcW w:w="303" w:type="pct"/>
            <w:tcBorders>
              <w:top w:val="nil"/>
              <w:left w:val="nil"/>
              <w:bottom w:val="nil"/>
              <w:right w:val="nil"/>
            </w:tcBorders>
            <w:noWrap w:val="0"/>
            <w:vAlign w:val="center"/>
          </w:tcPr>
          <w:p w14:paraId="2EFA0306">
            <w:pPr>
              <w:rPr>
                <w:rFonts w:hint="eastAsia" w:ascii="宋体" w:hAnsi="宋体"/>
                <w:color w:val="auto"/>
                <w:sz w:val="2"/>
                <w:highlight w:val="none"/>
              </w:rPr>
            </w:pPr>
          </w:p>
        </w:tc>
      </w:tr>
      <w:bookmarkEnd w:id="495"/>
      <w:tr w14:paraId="2C7DE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047A6B0B">
            <w:pPr>
              <w:spacing w:line="360" w:lineRule="auto"/>
              <w:ind w:right="-57" w:rightChars="-27"/>
              <w:jc w:val="center"/>
              <w:rPr>
                <w:rFonts w:hint="eastAsia" w:ascii="宋体" w:hAnsi="宋体"/>
                <w:b/>
                <w:bCs/>
                <w:color w:val="auto"/>
                <w:szCs w:val="21"/>
                <w:highlight w:val="none"/>
              </w:rPr>
            </w:pPr>
            <w:r>
              <w:rPr>
                <w:rFonts w:hint="eastAsia" w:ascii="宋体" w:hAnsi="宋体"/>
                <w:b/>
                <w:bCs/>
                <w:color w:val="auto"/>
                <w:szCs w:val="21"/>
                <w:highlight w:val="none"/>
              </w:rPr>
              <w:t>担任职能</w:t>
            </w: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0D1ADF30">
            <w:pPr>
              <w:spacing w:line="360" w:lineRule="auto"/>
              <w:ind w:right="-57" w:rightChars="-27"/>
              <w:jc w:val="center"/>
              <w:rPr>
                <w:rFonts w:hint="eastAsia" w:ascii="宋体" w:hAnsi="宋体" w:eastAsia="等线"/>
                <w:b/>
                <w:bCs/>
                <w:color w:val="auto"/>
                <w:kern w:val="2"/>
                <w:sz w:val="21"/>
                <w:szCs w:val="21"/>
                <w:highlight w:val="none"/>
                <w:lang w:val="en-US" w:eastAsia="zh-CN" w:bidi="ar-SA"/>
              </w:rPr>
            </w:pPr>
            <w:r>
              <w:rPr>
                <w:rFonts w:hint="eastAsia" w:ascii="宋体" w:hAnsi="宋体"/>
                <w:b/>
                <w:bCs/>
                <w:color w:val="auto"/>
                <w:szCs w:val="21"/>
                <w:highlight w:val="none"/>
              </w:rPr>
              <w:t>姓名</w:t>
            </w: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786C6846">
            <w:pPr>
              <w:spacing w:line="360" w:lineRule="auto"/>
              <w:ind w:right="-57" w:rightChars="-27"/>
              <w:jc w:val="center"/>
              <w:rPr>
                <w:rFonts w:hint="eastAsia" w:ascii="宋体" w:hAnsi="宋体" w:eastAsia="等线"/>
                <w:b/>
                <w:bCs/>
                <w:color w:val="auto"/>
                <w:kern w:val="2"/>
                <w:sz w:val="21"/>
                <w:szCs w:val="21"/>
                <w:highlight w:val="none"/>
                <w:lang w:val="en-US" w:eastAsia="zh-CN" w:bidi="ar-SA"/>
              </w:rPr>
            </w:pPr>
            <w:r>
              <w:rPr>
                <w:rFonts w:hint="eastAsia" w:ascii="宋体" w:hAnsi="宋体"/>
                <w:b/>
                <w:bCs/>
                <w:color w:val="auto"/>
                <w:szCs w:val="21"/>
                <w:highlight w:val="none"/>
              </w:rPr>
              <w:t>职位</w:t>
            </w: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00AF9874">
            <w:pPr>
              <w:spacing w:line="360" w:lineRule="auto"/>
              <w:ind w:right="-57" w:rightChars="-27"/>
              <w:jc w:val="center"/>
              <w:rPr>
                <w:rFonts w:hint="default" w:ascii="宋体" w:hAnsi="宋体" w:eastAsia="等线"/>
                <w:b/>
                <w:bCs/>
                <w:color w:val="auto"/>
                <w:szCs w:val="21"/>
                <w:highlight w:val="none"/>
                <w:lang w:val="en-US" w:eastAsia="zh-CN"/>
              </w:rPr>
            </w:pPr>
            <w:r>
              <w:rPr>
                <w:rFonts w:hint="eastAsia" w:ascii="宋体" w:hAnsi="宋体"/>
                <w:b/>
                <w:bCs/>
                <w:color w:val="auto"/>
                <w:szCs w:val="21"/>
                <w:highlight w:val="none"/>
                <w:lang w:val="en-US" w:eastAsia="zh-CN"/>
              </w:rPr>
              <w:t>联系电话</w:t>
            </w:r>
          </w:p>
        </w:tc>
      </w:tr>
      <w:tr w14:paraId="4B5BD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0BA027E6">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07594754">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5D808BB2">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54BA6A94">
            <w:pPr>
              <w:spacing w:line="360" w:lineRule="auto"/>
              <w:ind w:right="-57" w:rightChars="-27"/>
              <w:jc w:val="center"/>
              <w:rPr>
                <w:rFonts w:hint="eastAsia" w:ascii="宋体" w:hAnsi="宋体"/>
                <w:color w:val="auto"/>
                <w:szCs w:val="21"/>
                <w:highlight w:val="none"/>
              </w:rPr>
            </w:pPr>
          </w:p>
        </w:tc>
      </w:tr>
      <w:tr w14:paraId="6D0C5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7BA9ED5D">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7EC569C9">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665FDE96">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582BF402">
            <w:pPr>
              <w:spacing w:line="360" w:lineRule="auto"/>
              <w:ind w:right="-57" w:rightChars="-27"/>
              <w:jc w:val="center"/>
              <w:rPr>
                <w:rFonts w:hint="eastAsia" w:ascii="宋体" w:hAnsi="宋体"/>
                <w:color w:val="auto"/>
                <w:szCs w:val="21"/>
                <w:highlight w:val="none"/>
              </w:rPr>
            </w:pPr>
          </w:p>
        </w:tc>
      </w:tr>
      <w:tr w14:paraId="31B28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5DFA4879">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28D21C0F">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4B47749E">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107DB7D3">
            <w:pPr>
              <w:spacing w:line="360" w:lineRule="auto"/>
              <w:ind w:right="-57" w:rightChars="-27"/>
              <w:jc w:val="center"/>
              <w:rPr>
                <w:rFonts w:hint="eastAsia" w:ascii="宋体" w:hAnsi="宋体"/>
                <w:color w:val="auto"/>
                <w:szCs w:val="21"/>
                <w:highlight w:val="none"/>
              </w:rPr>
            </w:pPr>
          </w:p>
        </w:tc>
      </w:tr>
      <w:tr w14:paraId="320F0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24F0DE55">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1364FCC3">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1290BDC1">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6543FFC1">
            <w:pPr>
              <w:spacing w:line="360" w:lineRule="auto"/>
              <w:ind w:right="-57" w:rightChars="-27"/>
              <w:jc w:val="center"/>
              <w:rPr>
                <w:rFonts w:hint="eastAsia" w:ascii="宋体" w:hAnsi="宋体"/>
                <w:color w:val="auto"/>
                <w:szCs w:val="21"/>
                <w:highlight w:val="none"/>
              </w:rPr>
            </w:pPr>
          </w:p>
        </w:tc>
      </w:tr>
      <w:tr w14:paraId="79336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01C5A218">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2EF86718">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43DF5FF3">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235B5720">
            <w:pPr>
              <w:spacing w:line="360" w:lineRule="auto"/>
              <w:ind w:right="-57" w:rightChars="-27"/>
              <w:jc w:val="center"/>
              <w:rPr>
                <w:rFonts w:hint="eastAsia" w:ascii="宋体" w:hAnsi="宋体"/>
                <w:color w:val="auto"/>
                <w:szCs w:val="21"/>
                <w:highlight w:val="none"/>
              </w:rPr>
            </w:pPr>
          </w:p>
        </w:tc>
      </w:tr>
      <w:tr w14:paraId="62D4B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0F36EA58">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11D3F2C5">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18B34509">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3EE8FC44">
            <w:pPr>
              <w:spacing w:line="360" w:lineRule="auto"/>
              <w:ind w:right="-57" w:rightChars="-27"/>
              <w:jc w:val="center"/>
              <w:rPr>
                <w:rFonts w:hint="eastAsia" w:ascii="宋体" w:hAnsi="宋体"/>
                <w:color w:val="auto"/>
                <w:szCs w:val="21"/>
                <w:highlight w:val="none"/>
              </w:rPr>
            </w:pPr>
          </w:p>
        </w:tc>
      </w:tr>
      <w:tr w14:paraId="317A8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2719B49D">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44E81A36">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5C73A988">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0892E8D3">
            <w:pPr>
              <w:spacing w:line="360" w:lineRule="auto"/>
              <w:ind w:right="-57" w:rightChars="-27"/>
              <w:jc w:val="center"/>
              <w:rPr>
                <w:rFonts w:hint="eastAsia" w:ascii="宋体" w:hAnsi="宋体"/>
                <w:color w:val="auto"/>
                <w:szCs w:val="21"/>
                <w:highlight w:val="none"/>
              </w:rPr>
            </w:pPr>
          </w:p>
        </w:tc>
      </w:tr>
      <w:tr w14:paraId="544E9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73AD8B51">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5ACEFBE1">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732BAD61">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70F3A020">
            <w:pPr>
              <w:spacing w:line="360" w:lineRule="auto"/>
              <w:ind w:right="-57" w:rightChars="-27"/>
              <w:jc w:val="center"/>
              <w:rPr>
                <w:rFonts w:hint="eastAsia" w:ascii="宋体" w:hAnsi="宋体"/>
                <w:color w:val="auto"/>
                <w:szCs w:val="21"/>
                <w:highlight w:val="none"/>
              </w:rPr>
            </w:pPr>
          </w:p>
        </w:tc>
      </w:tr>
      <w:tr w14:paraId="5868F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26656823">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43EC662D">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794BAA39">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074F09E3">
            <w:pPr>
              <w:spacing w:line="360" w:lineRule="auto"/>
              <w:ind w:right="-57" w:rightChars="-27"/>
              <w:jc w:val="center"/>
              <w:rPr>
                <w:rFonts w:hint="eastAsia" w:ascii="宋体" w:hAnsi="宋体"/>
                <w:color w:val="auto"/>
                <w:szCs w:val="21"/>
                <w:highlight w:val="none"/>
              </w:rPr>
            </w:pPr>
          </w:p>
        </w:tc>
      </w:tr>
      <w:tr w14:paraId="4C719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007542F1">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385E04F0">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180309E2">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14F15472">
            <w:pPr>
              <w:spacing w:line="360" w:lineRule="auto"/>
              <w:ind w:right="-57" w:rightChars="-27"/>
              <w:jc w:val="center"/>
              <w:rPr>
                <w:rFonts w:hint="eastAsia" w:ascii="宋体" w:hAnsi="宋体"/>
                <w:color w:val="auto"/>
                <w:szCs w:val="21"/>
                <w:highlight w:val="none"/>
              </w:rPr>
            </w:pPr>
          </w:p>
        </w:tc>
      </w:tr>
      <w:tr w14:paraId="5AB62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1400" w:type="pct"/>
            <w:gridSpan w:val="5"/>
            <w:tcBorders>
              <w:top w:val="single" w:color="auto" w:sz="4" w:space="0"/>
              <w:left w:val="single" w:color="auto" w:sz="4" w:space="0"/>
              <w:bottom w:val="single" w:color="auto" w:sz="4" w:space="0"/>
              <w:right w:val="single" w:color="auto" w:sz="4" w:space="0"/>
            </w:tcBorders>
            <w:noWrap w:val="0"/>
            <w:vAlign w:val="center"/>
          </w:tcPr>
          <w:p w14:paraId="04F72FC9">
            <w:pPr>
              <w:spacing w:line="360" w:lineRule="auto"/>
              <w:ind w:right="-57" w:rightChars="-27"/>
              <w:jc w:val="center"/>
              <w:rPr>
                <w:rFonts w:hint="eastAsia" w:ascii="宋体" w:hAnsi="宋体"/>
                <w:color w:val="auto"/>
                <w:szCs w:val="21"/>
                <w:highlight w:val="none"/>
              </w:rPr>
            </w:pPr>
          </w:p>
        </w:tc>
        <w:tc>
          <w:tcPr>
            <w:tcW w:w="796" w:type="pct"/>
            <w:gridSpan w:val="2"/>
            <w:tcBorders>
              <w:top w:val="single" w:color="auto" w:sz="4" w:space="0"/>
              <w:left w:val="single" w:color="auto" w:sz="4" w:space="0"/>
              <w:bottom w:val="single" w:color="auto" w:sz="4" w:space="0"/>
              <w:right w:val="single" w:color="auto" w:sz="4" w:space="0"/>
            </w:tcBorders>
            <w:noWrap w:val="0"/>
            <w:vAlign w:val="center"/>
          </w:tcPr>
          <w:p w14:paraId="723BC206">
            <w:pPr>
              <w:spacing w:line="360" w:lineRule="auto"/>
              <w:ind w:right="-57" w:rightChars="-27"/>
              <w:jc w:val="center"/>
              <w:rPr>
                <w:rFonts w:hint="eastAsia" w:ascii="宋体" w:hAnsi="宋体"/>
                <w:color w:val="auto"/>
                <w:szCs w:val="21"/>
                <w:highlight w:val="none"/>
              </w:rPr>
            </w:pPr>
          </w:p>
        </w:tc>
        <w:tc>
          <w:tcPr>
            <w:tcW w:w="1399" w:type="pct"/>
            <w:gridSpan w:val="3"/>
            <w:tcBorders>
              <w:top w:val="single" w:color="auto" w:sz="4" w:space="0"/>
              <w:left w:val="single" w:color="auto" w:sz="4" w:space="0"/>
              <w:bottom w:val="single" w:color="auto" w:sz="4" w:space="0"/>
              <w:right w:val="single" w:color="auto" w:sz="4" w:space="0"/>
            </w:tcBorders>
            <w:noWrap w:val="0"/>
            <w:vAlign w:val="center"/>
          </w:tcPr>
          <w:p w14:paraId="0E732371">
            <w:pPr>
              <w:spacing w:line="360" w:lineRule="auto"/>
              <w:ind w:right="-57" w:rightChars="-27"/>
              <w:jc w:val="center"/>
              <w:rPr>
                <w:rFonts w:hint="eastAsia" w:ascii="宋体" w:hAnsi="宋体"/>
                <w:color w:val="auto"/>
                <w:szCs w:val="21"/>
                <w:highlight w:val="none"/>
              </w:rPr>
            </w:pPr>
          </w:p>
        </w:tc>
        <w:tc>
          <w:tcPr>
            <w:tcW w:w="1403" w:type="pct"/>
            <w:gridSpan w:val="4"/>
            <w:tcBorders>
              <w:top w:val="single" w:color="auto" w:sz="4" w:space="0"/>
              <w:left w:val="single" w:color="auto" w:sz="4" w:space="0"/>
              <w:bottom w:val="single" w:color="auto" w:sz="4" w:space="0"/>
              <w:right w:val="single" w:color="auto" w:sz="4" w:space="0"/>
            </w:tcBorders>
            <w:noWrap w:val="0"/>
            <w:vAlign w:val="center"/>
          </w:tcPr>
          <w:p w14:paraId="35E57695">
            <w:pPr>
              <w:spacing w:line="360" w:lineRule="auto"/>
              <w:ind w:right="-57" w:rightChars="-27"/>
              <w:jc w:val="center"/>
              <w:rPr>
                <w:rFonts w:hint="eastAsia" w:ascii="宋体" w:hAnsi="宋体"/>
                <w:color w:val="auto"/>
                <w:szCs w:val="21"/>
                <w:highlight w:val="none"/>
              </w:rPr>
            </w:pPr>
          </w:p>
        </w:tc>
      </w:tr>
    </w:tbl>
    <w:p w14:paraId="286A9725">
      <w:pPr>
        <w:rPr>
          <w:rFonts w:hint="eastAsia" w:ascii="宋体" w:hAnsi="宋体"/>
          <w:color w:val="auto"/>
          <w:highlight w:val="none"/>
        </w:rPr>
      </w:pPr>
    </w:p>
    <w:p w14:paraId="5B4238D5">
      <w:pPr>
        <w:rPr>
          <w:rFonts w:hint="eastAsia" w:ascii="宋体" w:hAnsi="宋体"/>
          <w:color w:val="auto"/>
          <w:highlight w:val="none"/>
        </w:rPr>
      </w:pPr>
    </w:p>
    <w:p w14:paraId="34ABD61F">
      <w:pPr>
        <w:rPr>
          <w:rFonts w:hint="eastAsia" w:ascii="宋体" w:hAnsi="宋体"/>
          <w:color w:val="auto"/>
          <w:highlight w:val="none"/>
        </w:rPr>
      </w:pPr>
      <w:r>
        <w:rPr>
          <w:rFonts w:hint="eastAsia" w:ascii="宋体" w:hAnsi="宋体"/>
          <w:color w:val="auto"/>
          <w:highlight w:val="none"/>
        </w:rPr>
        <w:br w:type="page"/>
      </w:r>
    </w:p>
    <w:p w14:paraId="330363DD">
      <w:pPr>
        <w:pStyle w:val="3"/>
        <w:spacing w:before="93" w:beforeLines="30"/>
        <w:jc w:val="center"/>
        <w:outlineLvl w:val="1"/>
        <w:rPr>
          <w:rFonts w:hint="eastAsia" w:ascii="宋体" w:hAnsi="宋体" w:eastAsia="宋体" w:cs="Times New Roman"/>
          <w:b w:val="0"/>
          <w:color w:val="auto"/>
          <w:sz w:val="21"/>
          <w:szCs w:val="24"/>
          <w:highlight w:val="none"/>
          <w:u w:val="none"/>
          <w:lang w:val="en-US" w:eastAsia="zh-CN"/>
        </w:rPr>
      </w:pPr>
      <w:bookmarkStart w:id="496" w:name="_Toc8100"/>
      <w:r>
        <w:rPr>
          <w:rFonts w:hint="eastAsia" w:ascii="宋体" w:hAnsi="宋体" w:eastAsia="宋体" w:cs="Times New Roman"/>
          <w:b w:val="0"/>
          <w:color w:val="auto"/>
          <w:sz w:val="21"/>
          <w:szCs w:val="24"/>
          <w:highlight w:val="none"/>
          <w:u w:val="none"/>
          <w:lang w:val="en-US" w:eastAsia="zh-CN"/>
        </w:rPr>
        <w:t>合同附件四：</w:t>
      </w:r>
      <w:r>
        <w:rPr>
          <w:rFonts w:hint="eastAsia" w:ascii="宋体" w:hAnsi="宋体" w:eastAsia="宋体" w:cs="Times New Roman"/>
          <w:b w:val="0"/>
          <w:color w:val="auto"/>
          <w:sz w:val="21"/>
          <w:szCs w:val="24"/>
          <w:highlight w:val="none"/>
          <w:u w:val="none"/>
        </w:rPr>
        <w:t>廉洁从业</w:t>
      </w:r>
      <w:r>
        <w:rPr>
          <w:rFonts w:hint="eastAsia" w:ascii="宋体" w:hAnsi="宋体" w:eastAsia="宋体" w:cs="Times New Roman"/>
          <w:b w:val="0"/>
          <w:color w:val="auto"/>
          <w:sz w:val="21"/>
          <w:szCs w:val="24"/>
          <w:highlight w:val="none"/>
          <w:u w:val="none"/>
          <w:lang w:val="en-US" w:eastAsia="zh-CN"/>
        </w:rPr>
        <w:t>及</w:t>
      </w:r>
      <w:r>
        <w:rPr>
          <w:rFonts w:hint="eastAsia" w:ascii="宋体" w:hAnsi="宋体" w:eastAsia="宋体" w:cs="Times New Roman"/>
          <w:b w:val="0"/>
          <w:color w:val="auto"/>
          <w:sz w:val="21"/>
          <w:szCs w:val="24"/>
          <w:highlight w:val="none"/>
          <w:u w:val="none"/>
        </w:rPr>
        <w:t>反商业贿赂协议</w:t>
      </w:r>
      <w:bookmarkEnd w:id="496"/>
    </w:p>
    <w:p w14:paraId="7353DA2A">
      <w:pPr>
        <w:spacing w:line="360" w:lineRule="auto"/>
        <w:jc w:val="center"/>
        <w:outlineLvl w:val="1"/>
        <w:rPr>
          <w:rFonts w:hint="eastAsia" w:ascii="宋体" w:hAnsi="宋体" w:eastAsia="宋体" w:cs="宋体"/>
          <w:b/>
          <w:color w:val="auto"/>
          <w:sz w:val="21"/>
          <w:szCs w:val="21"/>
          <w:highlight w:val="none"/>
          <w:u w:val="none"/>
        </w:rPr>
      </w:pPr>
      <w:bookmarkStart w:id="497" w:name="_Toc15649"/>
      <w:r>
        <w:rPr>
          <w:rFonts w:hint="eastAsia" w:ascii="宋体" w:hAnsi="宋体" w:eastAsia="宋体" w:cs="宋体"/>
          <w:b/>
          <w:color w:val="auto"/>
          <w:sz w:val="21"/>
          <w:szCs w:val="21"/>
          <w:highlight w:val="none"/>
          <w:u w:val="none"/>
        </w:rPr>
        <w:t>廉洁从业</w:t>
      </w:r>
      <w:r>
        <w:rPr>
          <w:rFonts w:hint="eastAsia" w:ascii="宋体" w:hAnsi="宋体" w:eastAsia="宋体" w:cs="宋体"/>
          <w:b/>
          <w:color w:val="auto"/>
          <w:sz w:val="21"/>
          <w:szCs w:val="21"/>
          <w:highlight w:val="none"/>
          <w:u w:val="none"/>
          <w:lang w:val="en-US" w:eastAsia="zh-CN"/>
        </w:rPr>
        <w:t>及</w:t>
      </w:r>
      <w:r>
        <w:rPr>
          <w:rFonts w:hint="eastAsia" w:ascii="宋体" w:hAnsi="宋体" w:eastAsia="宋体" w:cs="宋体"/>
          <w:b/>
          <w:color w:val="auto"/>
          <w:sz w:val="21"/>
          <w:szCs w:val="21"/>
          <w:highlight w:val="none"/>
          <w:u w:val="none"/>
        </w:rPr>
        <w:t>反商业贿赂协议</w:t>
      </w:r>
      <w:bookmarkEnd w:id="497"/>
    </w:p>
    <w:p w14:paraId="5F0B3B79">
      <w:pPr>
        <w:spacing w:line="360" w:lineRule="auto"/>
        <w:jc w:val="center"/>
        <w:outlineLvl w:val="1"/>
        <w:rPr>
          <w:rFonts w:hint="eastAsia" w:ascii="宋体" w:hAnsi="宋体" w:eastAsia="宋体" w:cs="宋体"/>
          <w:b/>
          <w:color w:val="auto"/>
          <w:sz w:val="21"/>
          <w:szCs w:val="21"/>
          <w:highlight w:val="none"/>
          <w:u w:val="none"/>
        </w:rPr>
      </w:pPr>
    </w:p>
    <w:p w14:paraId="696F0E45">
      <w:pPr>
        <w:snapToGrid w:val="0"/>
        <w:spacing w:line="360" w:lineRule="auto"/>
        <w:rPr>
          <w:rFonts w:hint="eastAsia" w:ascii="宋体" w:hAnsi="宋体" w:eastAsia="宋体" w:cs="宋体"/>
          <w:color w:val="auto"/>
          <w:sz w:val="21"/>
          <w:szCs w:val="21"/>
          <w:highlight w:val="none"/>
          <w:u w:val="none"/>
          <w:lang w:eastAsia="zh-CN"/>
        </w:rPr>
      </w:pPr>
      <w:r>
        <w:rPr>
          <w:rFonts w:hint="eastAsia" w:ascii="宋体" w:hAnsi="宋体" w:eastAsia="宋体" w:cs="宋体"/>
          <w:color w:val="auto"/>
          <w:sz w:val="21"/>
          <w:szCs w:val="21"/>
          <w:highlight w:val="none"/>
          <w:u w:val="none"/>
        </w:rPr>
        <w:t>甲方：</w:t>
      </w:r>
      <w:r>
        <w:rPr>
          <w:rFonts w:hint="eastAsia"/>
          <w:color w:val="auto"/>
          <w:sz w:val="21"/>
          <w:szCs w:val="21"/>
          <w:highlight w:val="none"/>
          <w:lang w:val="zh-CN"/>
        </w:rPr>
        <w:t>广东南传广场开发有限公司</w:t>
      </w:r>
    </w:p>
    <w:p w14:paraId="464F2B8C">
      <w:pPr>
        <w:snapToGrid w:val="0"/>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乙方：</w:t>
      </w:r>
    </w:p>
    <w:p w14:paraId="50B64D3E">
      <w:pPr>
        <w:snapToGrid w:val="0"/>
        <w:spacing w:line="360" w:lineRule="auto"/>
        <w:rPr>
          <w:rFonts w:hint="eastAsia" w:ascii="宋体" w:hAnsi="宋体" w:eastAsia="宋体" w:cs="宋体"/>
          <w:color w:val="auto"/>
          <w:sz w:val="21"/>
          <w:szCs w:val="21"/>
          <w:highlight w:val="none"/>
          <w:u w:val="none"/>
          <w:lang w:val="en-US" w:eastAsia="zh-CN"/>
        </w:rPr>
      </w:pPr>
    </w:p>
    <w:p w14:paraId="5F14B571">
      <w:pPr>
        <w:snapToGrid w:val="0"/>
        <w:spacing w:line="360" w:lineRule="auto"/>
        <w:ind w:firstLine="420" w:firstLineChars="200"/>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甲方和乙方双方已签订了《</w:t>
      </w:r>
      <w:r>
        <w:rPr>
          <w:rFonts w:hint="eastAsia" w:ascii="宋体" w:hAnsi="宋体" w:eastAsia="宋体" w:cs="宋体"/>
          <w:color w:val="auto"/>
          <w:sz w:val="21"/>
          <w:szCs w:val="21"/>
          <w:highlight w:val="none"/>
          <w:u w:val="none"/>
          <w:lang w:eastAsia="zh-CN"/>
        </w:rPr>
        <w:t>广州国际文化中心营销策划顾问及首席租赁代理服务合同</w:t>
      </w:r>
      <w:r>
        <w:rPr>
          <w:rFonts w:hint="eastAsia" w:ascii="宋体" w:hAnsi="宋体" w:eastAsia="宋体" w:cs="宋体"/>
          <w:color w:val="auto"/>
          <w:sz w:val="21"/>
          <w:szCs w:val="21"/>
          <w:highlight w:val="none"/>
          <w:u w:val="none"/>
        </w:rPr>
        <w:t>》（以下简称“</w:t>
      </w:r>
      <w:r>
        <w:rPr>
          <w:rFonts w:hint="eastAsia" w:ascii="宋体" w:hAnsi="宋体" w:eastAsia="宋体" w:cs="宋体"/>
          <w:color w:val="auto"/>
          <w:sz w:val="21"/>
          <w:szCs w:val="21"/>
          <w:highlight w:val="none"/>
          <w:u w:val="none"/>
          <w:lang w:eastAsia="zh-CN"/>
        </w:rPr>
        <w:t>服务合同</w:t>
      </w:r>
      <w:r>
        <w:rPr>
          <w:rFonts w:hint="eastAsia" w:ascii="宋体" w:hAnsi="宋体" w:eastAsia="宋体" w:cs="宋体"/>
          <w:color w:val="auto"/>
          <w:sz w:val="21"/>
          <w:szCs w:val="21"/>
          <w:highlight w:val="none"/>
          <w:u w:val="none"/>
        </w:rPr>
        <w:t>”）,为了保证《</w:t>
      </w:r>
      <w:r>
        <w:rPr>
          <w:rFonts w:hint="eastAsia" w:ascii="宋体" w:hAnsi="宋体" w:eastAsia="宋体" w:cs="宋体"/>
          <w:color w:val="auto"/>
          <w:sz w:val="21"/>
          <w:szCs w:val="21"/>
          <w:highlight w:val="none"/>
          <w:u w:val="none"/>
          <w:lang w:eastAsia="zh-CN"/>
        </w:rPr>
        <w:t>服务合同</w:t>
      </w:r>
      <w:r>
        <w:rPr>
          <w:rFonts w:hint="eastAsia" w:ascii="宋体" w:hAnsi="宋体" w:eastAsia="宋体" w:cs="宋体"/>
          <w:color w:val="auto"/>
          <w:sz w:val="21"/>
          <w:szCs w:val="21"/>
          <w:highlight w:val="none"/>
          <w:u w:val="none"/>
        </w:rPr>
        <w:t>》全面、合法、正常的履行，防止各种违法、违纪、违规行为的发生，根据国家</w:t>
      </w:r>
      <w:r>
        <w:rPr>
          <w:rFonts w:hint="eastAsia" w:ascii="宋体" w:hAnsi="宋体" w:cs="宋体"/>
          <w:color w:val="auto"/>
          <w:sz w:val="21"/>
          <w:szCs w:val="21"/>
          <w:highlight w:val="none"/>
          <w:u w:val="none"/>
          <w:lang w:eastAsia="zh-CN"/>
        </w:rPr>
        <w:t>、</w:t>
      </w:r>
      <w:r>
        <w:rPr>
          <w:rFonts w:hint="eastAsia" w:ascii="宋体" w:hAnsi="宋体" w:cs="宋体"/>
          <w:color w:val="auto"/>
          <w:sz w:val="21"/>
          <w:szCs w:val="21"/>
          <w:highlight w:val="none"/>
          <w:u w:val="none"/>
          <w:lang w:val="en-US" w:eastAsia="zh-CN"/>
        </w:rPr>
        <w:t>广东省</w:t>
      </w:r>
      <w:r>
        <w:rPr>
          <w:rFonts w:hint="eastAsia" w:ascii="宋体" w:hAnsi="宋体" w:eastAsia="宋体" w:cs="宋体"/>
          <w:color w:val="auto"/>
          <w:sz w:val="21"/>
          <w:szCs w:val="21"/>
          <w:highlight w:val="none"/>
          <w:u w:val="none"/>
        </w:rPr>
        <w:t>和广州市有关廉政建设法律、法规和政策的规定，甲方和乙方双方就《</w:t>
      </w:r>
      <w:r>
        <w:rPr>
          <w:rFonts w:hint="eastAsia" w:ascii="宋体" w:hAnsi="宋体" w:eastAsia="宋体" w:cs="宋体"/>
          <w:color w:val="auto"/>
          <w:sz w:val="21"/>
          <w:szCs w:val="21"/>
          <w:highlight w:val="none"/>
          <w:u w:val="none"/>
          <w:lang w:eastAsia="zh-CN"/>
        </w:rPr>
        <w:t>服务合同</w:t>
      </w:r>
      <w:r>
        <w:rPr>
          <w:rFonts w:hint="eastAsia" w:ascii="宋体" w:hAnsi="宋体" w:eastAsia="宋体" w:cs="宋体"/>
          <w:color w:val="auto"/>
          <w:sz w:val="21"/>
          <w:szCs w:val="21"/>
          <w:highlight w:val="none"/>
          <w:u w:val="none"/>
        </w:rPr>
        <w:t>》履行过程中双方在廉政建设上的权利义务事宜，经友好协商，签订本协议，以资共同遵守。</w:t>
      </w:r>
    </w:p>
    <w:p w14:paraId="34938CB7">
      <w:pPr>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一、甲方和乙方双方及双方工作人员应当自觉遵守国家</w:t>
      </w:r>
      <w:r>
        <w:rPr>
          <w:rFonts w:hint="eastAsia" w:ascii="宋体" w:hAnsi="宋体" w:cs="宋体"/>
          <w:color w:val="auto"/>
          <w:sz w:val="21"/>
          <w:szCs w:val="21"/>
          <w:highlight w:val="none"/>
          <w:u w:val="none"/>
          <w:lang w:eastAsia="zh-CN"/>
        </w:rPr>
        <w:t>、</w:t>
      </w:r>
      <w:r>
        <w:rPr>
          <w:rFonts w:hint="eastAsia" w:ascii="宋体" w:hAnsi="宋体" w:cs="宋体"/>
          <w:color w:val="auto"/>
          <w:sz w:val="21"/>
          <w:szCs w:val="21"/>
          <w:highlight w:val="none"/>
          <w:u w:val="none"/>
          <w:lang w:val="en-US" w:eastAsia="zh-CN"/>
        </w:rPr>
        <w:t>广东省</w:t>
      </w:r>
      <w:r>
        <w:rPr>
          <w:rFonts w:hint="eastAsia" w:ascii="宋体" w:hAnsi="宋体" w:eastAsia="宋体" w:cs="宋体"/>
          <w:color w:val="auto"/>
          <w:sz w:val="21"/>
          <w:szCs w:val="21"/>
          <w:highlight w:val="none"/>
          <w:u w:val="none"/>
        </w:rPr>
        <w:t>和广州市有关廉政建设的法律、法规和政策的各项规定（以下简称“廉洁规定”）。</w:t>
      </w:r>
    </w:p>
    <w:p w14:paraId="65FC5794">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二、甲方及其工作人员不得以任何形式向乙方索要或违反规定收受各种名义的回扣、手续费等好处费。</w:t>
      </w:r>
    </w:p>
    <w:p w14:paraId="11510AE8">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三、甲方工作人员不得收受乙方的礼金、有价证券和贵重物品等礼物，不得在乙方报销任何应由个人承担的各种费用。</w:t>
      </w:r>
    </w:p>
    <w:p w14:paraId="5A27018F">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四、甲方工作人员不得擅自参加任何可能影响公正执行职务的宴请和娱乐活动。</w:t>
      </w:r>
    </w:p>
    <w:p w14:paraId="7ED93DCD">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五、甲方工作人员不得要求或者接受乙方工作人员在其住房装修、婚丧嫁娶、亲属工作安排以及出国等方面提供的各种方便。</w:t>
      </w:r>
    </w:p>
    <w:p w14:paraId="62987244">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六、甲方工作人员不得向乙方介绍其家属或者亲友（包括家属或亲友开办的公司企业）从事与《</w:t>
      </w:r>
      <w:r>
        <w:rPr>
          <w:rFonts w:hint="eastAsia" w:ascii="宋体" w:hAnsi="宋体" w:eastAsia="宋体" w:cs="宋体"/>
          <w:color w:val="auto"/>
          <w:sz w:val="21"/>
          <w:szCs w:val="21"/>
          <w:highlight w:val="none"/>
          <w:u w:val="none"/>
          <w:lang w:eastAsia="zh-CN"/>
        </w:rPr>
        <w:t>服务合同</w:t>
      </w:r>
      <w:r>
        <w:rPr>
          <w:rFonts w:hint="eastAsia" w:ascii="宋体" w:hAnsi="宋体" w:eastAsia="宋体" w:cs="宋体"/>
          <w:color w:val="auto"/>
          <w:sz w:val="21"/>
          <w:szCs w:val="21"/>
          <w:highlight w:val="none"/>
          <w:u w:val="none"/>
        </w:rPr>
        <w:t>》相关的项目有关的材料设备供应、分包等经济活动。</w:t>
      </w:r>
    </w:p>
    <w:p w14:paraId="56ABBFBB">
      <w:pPr>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七、甲方工作人员不得进行违反廉洁规定的任何其他活动。</w:t>
      </w:r>
    </w:p>
    <w:p w14:paraId="3D405282">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八、乙方及其工作人员不得为谋取不正当利益，给予甲方工作人员财物。</w:t>
      </w:r>
    </w:p>
    <w:p w14:paraId="3840149C">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九、乙方及其工作人员不得违反国家</w:t>
      </w:r>
      <w:r>
        <w:rPr>
          <w:rFonts w:hint="eastAsia" w:ascii="宋体" w:hAnsi="宋体" w:cs="宋体"/>
          <w:color w:val="auto"/>
          <w:sz w:val="21"/>
          <w:szCs w:val="21"/>
          <w:highlight w:val="none"/>
          <w:u w:val="none"/>
          <w:lang w:eastAsia="zh-CN"/>
        </w:rPr>
        <w:t>、</w:t>
      </w:r>
      <w:r>
        <w:rPr>
          <w:rFonts w:hint="eastAsia" w:ascii="宋体" w:hAnsi="宋体" w:cs="宋体"/>
          <w:color w:val="auto"/>
          <w:sz w:val="21"/>
          <w:szCs w:val="21"/>
          <w:highlight w:val="none"/>
          <w:u w:val="none"/>
          <w:lang w:val="en-US" w:eastAsia="zh-CN"/>
        </w:rPr>
        <w:t>广东省和</w:t>
      </w:r>
      <w:r>
        <w:rPr>
          <w:rFonts w:hint="eastAsia" w:ascii="宋体" w:hAnsi="宋体" w:eastAsia="宋体" w:cs="宋体"/>
          <w:color w:val="auto"/>
          <w:sz w:val="21"/>
          <w:szCs w:val="21"/>
          <w:highlight w:val="none"/>
          <w:u w:val="none"/>
        </w:rPr>
        <w:t>广州市有关廉政建设的规定，给予甲方工作人员各种名义的回扣、手续费等好处费。</w:t>
      </w:r>
    </w:p>
    <w:p w14:paraId="28E4D489">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十、乙方及其工作人员不得向甲方工作人员赠送礼金、有价证券和贵重物品等礼物，不得为甲方工作人员报销应由其个人或其亲属支付的各种费用。</w:t>
      </w:r>
    </w:p>
    <w:p w14:paraId="7D8F6C75">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十一、乙方及其工作人员不得以洽谈业务、签订</w:t>
      </w:r>
      <w:r>
        <w:rPr>
          <w:rFonts w:hint="eastAsia" w:ascii="宋体" w:hAnsi="宋体" w:cs="宋体"/>
          <w:color w:val="auto"/>
          <w:sz w:val="21"/>
          <w:szCs w:val="21"/>
          <w:highlight w:val="none"/>
          <w:u w:val="none"/>
          <w:lang w:eastAsia="zh-CN"/>
        </w:rPr>
        <w:t>协议</w:t>
      </w:r>
      <w:r>
        <w:rPr>
          <w:rFonts w:hint="eastAsia" w:ascii="宋体" w:hAnsi="宋体" w:eastAsia="宋体" w:cs="宋体"/>
          <w:color w:val="auto"/>
          <w:sz w:val="21"/>
          <w:szCs w:val="21"/>
          <w:highlight w:val="none"/>
          <w:u w:val="none"/>
        </w:rPr>
        <w:t>等为借口，宴请甲方工作人员或者安排其外出旅游或进行高消费娱乐、健身活动。</w:t>
      </w:r>
    </w:p>
    <w:p w14:paraId="35EFFC45">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十二、乙方及其工作人员不得为甲方下属各单位和工作人员购置或者提供通讯工具、交通工具、高档办公用品、家电等物品。</w:t>
      </w:r>
    </w:p>
    <w:p w14:paraId="2AC89B37">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十三、乙方及其工作人员不得为谋取不正当利益，为甲方工作人员提供住房装修、婚丧嫁娶、亲属工作安排以及出国等方面的各种方便。</w:t>
      </w:r>
    </w:p>
    <w:p w14:paraId="4FEE1117">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十四、乙方不得安排甲方工作人员的家属或者亲友（包括家属或亲友开办的公司企业）从事与《</w:t>
      </w:r>
      <w:r>
        <w:rPr>
          <w:rFonts w:hint="eastAsia" w:ascii="宋体" w:hAnsi="宋体" w:eastAsia="宋体" w:cs="宋体"/>
          <w:color w:val="auto"/>
          <w:sz w:val="21"/>
          <w:szCs w:val="21"/>
          <w:highlight w:val="none"/>
          <w:u w:val="none"/>
          <w:lang w:eastAsia="zh-CN"/>
        </w:rPr>
        <w:t>服务合同</w:t>
      </w:r>
      <w:r>
        <w:rPr>
          <w:rFonts w:hint="eastAsia" w:ascii="宋体" w:hAnsi="宋体" w:eastAsia="宋体" w:cs="宋体"/>
          <w:color w:val="auto"/>
          <w:sz w:val="21"/>
          <w:szCs w:val="21"/>
          <w:highlight w:val="none"/>
          <w:u w:val="none"/>
        </w:rPr>
        <w:t>》相关的项目有关的材料设备供应、分包等经济活动。</w:t>
      </w:r>
    </w:p>
    <w:p w14:paraId="45AAC1FA">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十五、乙方及其工作人员不得进行违反廉洁规定的任何其他活动。</w:t>
      </w:r>
    </w:p>
    <w:p w14:paraId="4410FC92">
      <w:pPr>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十六、乙方若发现甲方工作人员有违反廉洁规定的行为的，应及时对其进行教育帮助以中止其行为或向甲方监察部门举报；若甲方工作人员的行为已构成违法、违纪或违规的，乙方应当及时向甲方监察部门举报。甲方监察部门进行调查工作时，乙方应给予积极配合。</w:t>
      </w:r>
    </w:p>
    <w:p w14:paraId="5A0010E1">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十七、甲方若发现乙方工作人员为谋取自身的不正当利益，有违反廉洁规定的行为的，应及时对其进行教育帮助以中止其行为或向乙方监察部门举报；若乙方工作人员的行为已构成违法、违纪或违规的，甲方应当及时向乙方监察部门举报。乙方监察部门进行调查工作时，甲方应给予积极配合。</w:t>
      </w:r>
    </w:p>
    <w:p w14:paraId="6A8DBCFA">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十八、（1）若甲方发现乙方及其工作人员有违反廉洁规定行为的，致使甲方及其工作人员构成违法的，《</w:t>
      </w:r>
      <w:r>
        <w:rPr>
          <w:rFonts w:hint="eastAsia" w:ascii="宋体" w:hAnsi="宋体" w:eastAsia="宋体" w:cs="宋体"/>
          <w:color w:val="auto"/>
          <w:sz w:val="21"/>
          <w:szCs w:val="21"/>
          <w:highlight w:val="none"/>
          <w:u w:val="none"/>
          <w:lang w:eastAsia="zh-CN"/>
        </w:rPr>
        <w:t>服务合同</w:t>
      </w:r>
      <w:r>
        <w:rPr>
          <w:rFonts w:hint="eastAsia" w:ascii="宋体" w:hAnsi="宋体" w:eastAsia="宋体" w:cs="宋体"/>
          <w:color w:val="auto"/>
          <w:sz w:val="21"/>
          <w:szCs w:val="21"/>
          <w:highlight w:val="none"/>
          <w:u w:val="none"/>
        </w:rPr>
        <w:t>》尚未履行完毕时，甲方有权选择或并用：①要求乙方撤换派驻甲方的项目负责人，撤回违反廉洁规定的直接责任人员；②要求乙方支付</w:t>
      </w:r>
      <w:r>
        <w:rPr>
          <w:rFonts w:hint="eastAsia" w:ascii="宋体" w:hAnsi="宋体" w:cs="宋体"/>
          <w:color w:val="auto"/>
          <w:sz w:val="21"/>
          <w:szCs w:val="21"/>
          <w:highlight w:val="none"/>
          <w:u w:val="none"/>
          <w:lang w:eastAsia="zh-CN"/>
        </w:rPr>
        <w:t>协议</w:t>
      </w:r>
      <w:r>
        <w:rPr>
          <w:rFonts w:hint="eastAsia" w:ascii="宋体" w:hAnsi="宋体" w:cs="宋体"/>
          <w:color w:val="auto"/>
          <w:sz w:val="21"/>
          <w:szCs w:val="21"/>
          <w:highlight w:val="none"/>
          <w:u w:val="none"/>
          <w:lang w:val="en-US" w:eastAsia="zh-CN"/>
        </w:rPr>
        <w:t>总</w:t>
      </w:r>
      <w:r>
        <w:rPr>
          <w:rFonts w:hint="eastAsia" w:ascii="宋体" w:hAnsi="宋体" w:eastAsia="宋体" w:cs="宋体"/>
          <w:color w:val="auto"/>
          <w:sz w:val="21"/>
          <w:szCs w:val="21"/>
          <w:highlight w:val="none"/>
          <w:u w:val="none"/>
        </w:rPr>
        <w:t>价5%的违约金；③有权解除</w:t>
      </w:r>
      <w:r>
        <w:rPr>
          <w:rFonts w:hint="eastAsia" w:ascii="宋体" w:hAnsi="宋体" w:cs="宋体"/>
          <w:color w:val="auto"/>
          <w:sz w:val="21"/>
          <w:szCs w:val="21"/>
          <w:highlight w:val="none"/>
          <w:u w:val="none"/>
          <w:lang w:eastAsia="zh-CN"/>
        </w:rPr>
        <w:t>《</w:t>
      </w:r>
      <w:r>
        <w:rPr>
          <w:rFonts w:hint="eastAsia" w:ascii="宋体" w:hAnsi="宋体" w:cs="宋体"/>
          <w:color w:val="auto"/>
          <w:sz w:val="21"/>
          <w:szCs w:val="21"/>
          <w:highlight w:val="none"/>
          <w:u w:val="none"/>
          <w:lang w:val="en-US" w:eastAsia="zh-CN"/>
        </w:rPr>
        <w:t>服务合同</w:t>
      </w:r>
      <w:r>
        <w:rPr>
          <w:rFonts w:hint="eastAsia" w:ascii="宋体" w:hAnsi="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。（2）《</w:t>
      </w:r>
      <w:r>
        <w:rPr>
          <w:rFonts w:hint="eastAsia" w:ascii="宋体" w:hAnsi="宋体" w:eastAsia="宋体" w:cs="宋体"/>
          <w:color w:val="auto"/>
          <w:sz w:val="21"/>
          <w:szCs w:val="21"/>
          <w:highlight w:val="none"/>
          <w:u w:val="none"/>
          <w:lang w:eastAsia="zh-CN"/>
        </w:rPr>
        <w:t>服务合同</w:t>
      </w:r>
      <w:r>
        <w:rPr>
          <w:rFonts w:hint="eastAsia" w:ascii="宋体" w:hAnsi="宋体" w:eastAsia="宋体" w:cs="宋体"/>
          <w:color w:val="auto"/>
          <w:sz w:val="21"/>
          <w:szCs w:val="21"/>
          <w:highlight w:val="none"/>
          <w:u w:val="none"/>
        </w:rPr>
        <w:t>》已经履行完毕的，甲方有权要求乙方支付</w:t>
      </w:r>
      <w:r>
        <w:rPr>
          <w:rFonts w:hint="eastAsia" w:ascii="宋体" w:hAnsi="宋体" w:cs="宋体"/>
          <w:color w:val="auto"/>
          <w:sz w:val="21"/>
          <w:szCs w:val="21"/>
          <w:highlight w:val="none"/>
          <w:u w:val="none"/>
          <w:lang w:eastAsia="zh-CN"/>
        </w:rPr>
        <w:t>《</w:t>
      </w:r>
      <w:r>
        <w:rPr>
          <w:rFonts w:hint="eastAsia" w:ascii="宋体" w:hAnsi="宋体" w:cs="宋体"/>
          <w:color w:val="auto"/>
          <w:sz w:val="21"/>
          <w:szCs w:val="21"/>
          <w:highlight w:val="none"/>
          <w:u w:val="none"/>
          <w:lang w:val="en-US" w:eastAsia="zh-CN"/>
        </w:rPr>
        <w:t>服务合同》</w:t>
      </w:r>
      <w:r>
        <w:rPr>
          <w:rFonts w:hint="eastAsia" w:ascii="宋体" w:hAnsi="宋体" w:eastAsia="宋体" w:cs="宋体"/>
          <w:color w:val="auto"/>
          <w:sz w:val="21"/>
          <w:szCs w:val="21"/>
          <w:highlight w:val="none"/>
          <w:u w:val="none"/>
        </w:rPr>
        <w:t>结算</w:t>
      </w:r>
      <w:r>
        <w:rPr>
          <w:rFonts w:hint="eastAsia" w:ascii="宋体" w:hAnsi="宋体" w:cs="宋体"/>
          <w:color w:val="auto"/>
          <w:sz w:val="21"/>
          <w:szCs w:val="21"/>
          <w:highlight w:val="none"/>
          <w:u w:val="none"/>
          <w:lang w:val="en-US" w:eastAsia="zh-CN"/>
        </w:rPr>
        <w:t>总</w:t>
      </w:r>
      <w:r>
        <w:rPr>
          <w:rFonts w:hint="eastAsia" w:ascii="宋体" w:hAnsi="宋体" w:eastAsia="宋体" w:cs="宋体"/>
          <w:color w:val="auto"/>
          <w:sz w:val="21"/>
          <w:szCs w:val="21"/>
          <w:highlight w:val="none"/>
          <w:u w:val="none"/>
        </w:rPr>
        <w:t>价5%的违约金。（3）乙方因违反廉洁规定的行为而获取的非法所得，应返还甲方。（4）因乙方违反廉洁规定的行为给甲方造成经济损失的，乙方还应赔偿甲方</w:t>
      </w:r>
      <w:r>
        <w:rPr>
          <w:rFonts w:hint="eastAsia" w:ascii="宋体" w:hAnsi="宋体" w:cs="宋体"/>
          <w:color w:val="auto"/>
          <w:sz w:val="21"/>
          <w:szCs w:val="21"/>
          <w:highlight w:val="none"/>
          <w:u w:val="none"/>
          <w:lang w:val="en-US" w:eastAsia="zh-CN"/>
        </w:rPr>
        <w:t>的全部</w:t>
      </w:r>
      <w:r>
        <w:rPr>
          <w:rFonts w:hint="eastAsia" w:ascii="宋体" w:hAnsi="宋体" w:eastAsia="宋体" w:cs="宋体"/>
          <w:color w:val="auto"/>
          <w:sz w:val="21"/>
          <w:szCs w:val="21"/>
          <w:highlight w:val="none"/>
          <w:u w:val="none"/>
        </w:rPr>
        <w:t>经济损失。（5）乙方因没有履行</w:t>
      </w:r>
      <w:r>
        <w:rPr>
          <w:rFonts w:hint="eastAsia" w:ascii="宋体" w:hAnsi="宋体" w:cs="宋体"/>
          <w:color w:val="auto"/>
          <w:sz w:val="21"/>
          <w:szCs w:val="21"/>
          <w:highlight w:val="none"/>
          <w:u w:val="none"/>
          <w:lang w:val="en-US" w:eastAsia="zh-CN"/>
        </w:rPr>
        <w:t>本条第</w:t>
      </w:r>
      <w:r>
        <w:rPr>
          <w:rFonts w:hint="eastAsia" w:ascii="宋体" w:hAnsi="宋体" w:eastAsia="宋体" w:cs="宋体"/>
          <w:color w:val="auto"/>
          <w:sz w:val="21"/>
          <w:szCs w:val="21"/>
          <w:highlight w:val="none"/>
          <w:u w:val="none"/>
        </w:rPr>
        <w:t>（1）</w:t>
      </w:r>
      <w:r>
        <w:rPr>
          <w:rFonts w:hint="eastAsia" w:ascii="宋体" w:hAnsi="宋体" w:cs="宋体"/>
          <w:color w:val="auto"/>
          <w:sz w:val="21"/>
          <w:szCs w:val="21"/>
          <w:highlight w:val="none"/>
          <w:u w:val="none"/>
          <w:lang w:val="en-US" w:eastAsia="zh-CN"/>
        </w:rPr>
        <w:t>项</w:t>
      </w:r>
      <w:r>
        <w:rPr>
          <w:rFonts w:hint="eastAsia" w:ascii="宋体" w:hAnsi="宋体" w:eastAsia="宋体" w:cs="宋体"/>
          <w:color w:val="auto"/>
          <w:sz w:val="21"/>
          <w:szCs w:val="21"/>
          <w:highlight w:val="none"/>
          <w:u w:val="none"/>
        </w:rPr>
        <w:t>义务撤换派驻甲方的项目负责人或承担违约金的，甲方有权解除</w:t>
      </w:r>
      <w:r>
        <w:rPr>
          <w:rFonts w:hint="eastAsia" w:ascii="宋体" w:hAnsi="宋体" w:cs="宋体"/>
          <w:color w:val="auto"/>
          <w:sz w:val="21"/>
          <w:szCs w:val="21"/>
          <w:highlight w:val="none"/>
          <w:u w:val="none"/>
          <w:lang w:eastAsia="zh-CN"/>
        </w:rPr>
        <w:t>《</w:t>
      </w:r>
      <w:r>
        <w:rPr>
          <w:rFonts w:hint="eastAsia" w:ascii="宋体" w:hAnsi="宋体" w:cs="宋体"/>
          <w:color w:val="auto"/>
          <w:sz w:val="21"/>
          <w:szCs w:val="21"/>
          <w:highlight w:val="none"/>
          <w:u w:val="none"/>
          <w:lang w:val="en-US" w:eastAsia="zh-CN"/>
        </w:rPr>
        <w:t>服务合同</w:t>
      </w:r>
      <w:r>
        <w:rPr>
          <w:rFonts w:hint="eastAsia" w:ascii="宋体" w:hAnsi="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w:t>
      </w:r>
    </w:p>
    <w:p w14:paraId="51067ACD">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十九、若甲方发现乙方工作人员为谋取自身不正当利益有违反廉洁规定的行为的，甲方有权要求乙方撤回该人员，并不再安排该人员从事与甲方有关的任何工作。</w:t>
      </w:r>
    </w:p>
    <w:p w14:paraId="408D1956">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二十、乙方承诺</w:t>
      </w:r>
      <w:r>
        <w:rPr>
          <w:rFonts w:hint="eastAsia" w:ascii="宋体" w:hAnsi="宋体" w:cs="宋体"/>
          <w:color w:val="auto"/>
          <w:sz w:val="21"/>
          <w:szCs w:val="21"/>
          <w:highlight w:val="none"/>
          <w:u w:val="none"/>
          <w:lang w:val="en-US" w:eastAsia="zh-CN"/>
        </w:rPr>
        <w:t>提供</w:t>
      </w:r>
      <w:r>
        <w:rPr>
          <w:rFonts w:hint="eastAsia" w:ascii="宋体" w:hAnsi="宋体" w:eastAsia="宋体" w:cs="宋体"/>
          <w:color w:val="auto"/>
          <w:sz w:val="21"/>
          <w:szCs w:val="21"/>
          <w:highlight w:val="none"/>
          <w:u w:val="none"/>
          <w:lang w:eastAsia="zh-CN"/>
        </w:rPr>
        <w:t>广州国际文化中心营销策划顾问及首席租赁代理服务</w:t>
      </w:r>
      <w:r>
        <w:rPr>
          <w:rFonts w:hint="eastAsia" w:ascii="宋体" w:hAnsi="宋体" w:cs="宋体"/>
          <w:color w:val="auto"/>
          <w:sz w:val="21"/>
          <w:szCs w:val="21"/>
          <w:highlight w:val="none"/>
          <w:u w:val="none"/>
          <w:lang w:val="en-US" w:eastAsia="zh-CN"/>
        </w:rPr>
        <w:t>工作</w:t>
      </w:r>
      <w:r>
        <w:rPr>
          <w:rFonts w:hint="eastAsia" w:ascii="宋体" w:hAnsi="宋体" w:eastAsia="宋体" w:cs="宋体"/>
          <w:color w:val="auto"/>
          <w:sz w:val="21"/>
          <w:szCs w:val="21"/>
          <w:highlight w:val="none"/>
          <w:u w:val="none"/>
        </w:rPr>
        <w:t>，是乙方自主</w:t>
      </w:r>
      <w:r>
        <w:rPr>
          <w:rFonts w:hint="eastAsia" w:ascii="宋体" w:hAnsi="宋体" w:cs="宋体"/>
          <w:color w:val="auto"/>
          <w:sz w:val="21"/>
          <w:szCs w:val="21"/>
          <w:highlight w:val="none"/>
          <w:u w:val="none"/>
          <w:lang w:val="en-US" w:eastAsia="zh-CN"/>
        </w:rPr>
        <w:t>且合法的经营行为</w:t>
      </w:r>
      <w:r>
        <w:rPr>
          <w:rFonts w:hint="eastAsia" w:ascii="宋体" w:hAnsi="宋体" w:eastAsia="宋体" w:cs="宋体"/>
          <w:color w:val="auto"/>
          <w:sz w:val="21"/>
          <w:szCs w:val="21"/>
          <w:highlight w:val="none"/>
          <w:u w:val="none"/>
        </w:rPr>
        <w:t>。乙方承诺在本次</w:t>
      </w:r>
      <w:r>
        <w:rPr>
          <w:rFonts w:hint="eastAsia" w:ascii="宋体" w:hAnsi="宋体" w:cs="宋体"/>
          <w:color w:val="auto"/>
          <w:sz w:val="21"/>
          <w:szCs w:val="21"/>
          <w:highlight w:val="none"/>
          <w:u w:val="none"/>
          <w:lang w:val="en-US" w:eastAsia="zh-CN"/>
        </w:rPr>
        <w:t>代理工作</w:t>
      </w:r>
      <w:r>
        <w:rPr>
          <w:rFonts w:hint="eastAsia" w:ascii="宋体" w:hAnsi="宋体" w:eastAsia="宋体" w:cs="宋体"/>
          <w:color w:val="auto"/>
          <w:sz w:val="21"/>
          <w:szCs w:val="21"/>
          <w:highlight w:val="none"/>
          <w:u w:val="none"/>
        </w:rPr>
        <w:t>中，未被任何个人或单位挂靠，也未与其他任何单位进行合作</w:t>
      </w:r>
      <w:r>
        <w:rPr>
          <w:rFonts w:hint="eastAsia" w:ascii="宋体" w:hAnsi="宋体" w:cs="宋体"/>
          <w:color w:val="auto"/>
          <w:sz w:val="21"/>
          <w:szCs w:val="21"/>
          <w:highlight w:val="none"/>
          <w:u w:val="none"/>
          <w:lang w:val="en-US" w:eastAsia="zh-CN"/>
        </w:rPr>
        <w:t>代理</w:t>
      </w:r>
      <w:r>
        <w:rPr>
          <w:rFonts w:hint="eastAsia" w:ascii="宋体" w:hAnsi="宋体" w:eastAsia="宋体" w:cs="宋体"/>
          <w:color w:val="auto"/>
          <w:sz w:val="21"/>
          <w:szCs w:val="21"/>
          <w:highlight w:val="none"/>
          <w:u w:val="none"/>
        </w:rPr>
        <w:t>。乙方承诺项目实施过程中，不会被任何单位或个人挂靠，不会进行转包或违法分包，如乙方在本次</w:t>
      </w:r>
      <w:r>
        <w:rPr>
          <w:rFonts w:hint="eastAsia" w:ascii="宋体" w:hAnsi="宋体" w:cs="宋体"/>
          <w:color w:val="auto"/>
          <w:sz w:val="21"/>
          <w:szCs w:val="21"/>
          <w:highlight w:val="none"/>
          <w:u w:val="none"/>
          <w:lang w:val="en-US" w:eastAsia="zh-CN"/>
        </w:rPr>
        <w:t>代理</w:t>
      </w:r>
      <w:r>
        <w:rPr>
          <w:rFonts w:hint="eastAsia" w:ascii="宋体" w:hAnsi="宋体" w:eastAsia="宋体" w:cs="宋体"/>
          <w:color w:val="auto"/>
          <w:sz w:val="21"/>
          <w:szCs w:val="21"/>
          <w:highlight w:val="none"/>
          <w:u w:val="none"/>
        </w:rPr>
        <w:t>或项目实施过程中，存在转包、挂靠或违法分包行为的，乙方愿意为此承担全部责任；一经查实，甲方将按相关法律法规严肃处理。</w:t>
      </w:r>
    </w:p>
    <w:p w14:paraId="2FF229D4">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二十一、因本协议发生的任何争议，甲方和乙方双方应友好协商解决。协商不成</w:t>
      </w:r>
      <w:r>
        <w:rPr>
          <w:rFonts w:hint="eastAsia" w:ascii="宋体" w:hAnsi="宋体" w:cs="宋体"/>
          <w:color w:val="auto"/>
          <w:sz w:val="21"/>
          <w:szCs w:val="21"/>
          <w:highlight w:val="none"/>
          <w:u w:val="none"/>
          <w:lang w:val="en-US" w:eastAsia="zh-CN"/>
        </w:rPr>
        <w:t>的</w:t>
      </w:r>
      <w:r>
        <w:rPr>
          <w:rFonts w:hint="eastAsia" w:ascii="宋体" w:hAnsi="宋体" w:eastAsia="宋体" w:cs="宋体"/>
          <w:color w:val="auto"/>
          <w:sz w:val="21"/>
          <w:szCs w:val="21"/>
          <w:highlight w:val="none"/>
          <w:u w:val="none"/>
        </w:rPr>
        <w:t>，</w:t>
      </w:r>
      <w:r>
        <w:rPr>
          <w:rFonts w:hint="eastAsia" w:ascii="宋体" w:hAnsi="宋体" w:cs="宋体"/>
          <w:color w:val="auto"/>
          <w:sz w:val="21"/>
          <w:szCs w:val="21"/>
          <w:highlight w:val="none"/>
          <w:u w:val="none"/>
          <w:lang w:val="en-US" w:eastAsia="zh-CN"/>
        </w:rPr>
        <w:t>任何一方</w:t>
      </w:r>
      <w:r>
        <w:rPr>
          <w:rFonts w:hint="eastAsia" w:ascii="宋体" w:hAnsi="宋体" w:cs="宋体"/>
          <w:color w:val="auto"/>
          <w:sz w:val="21"/>
          <w:szCs w:val="21"/>
          <w:highlight w:val="none"/>
        </w:rPr>
        <w:t>均可向甲方所在地人民法院起诉</w:t>
      </w:r>
      <w:r>
        <w:rPr>
          <w:rFonts w:hint="eastAsia" w:ascii="宋体" w:hAnsi="宋体" w:eastAsia="宋体" w:cs="宋体"/>
          <w:color w:val="auto"/>
          <w:sz w:val="21"/>
          <w:szCs w:val="21"/>
          <w:highlight w:val="none"/>
          <w:u w:val="none"/>
        </w:rPr>
        <w:t>。</w:t>
      </w:r>
    </w:p>
    <w:p w14:paraId="44916F80">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二十</w:t>
      </w:r>
      <w:r>
        <w:rPr>
          <w:rFonts w:hint="eastAsia" w:ascii="宋体" w:hAnsi="宋体" w:cs="宋体"/>
          <w:color w:val="auto"/>
          <w:sz w:val="21"/>
          <w:szCs w:val="21"/>
          <w:highlight w:val="none"/>
          <w:u w:val="none"/>
          <w:lang w:val="en-US" w:eastAsia="zh-CN"/>
        </w:rPr>
        <w:t>二</w:t>
      </w:r>
      <w:r>
        <w:rPr>
          <w:rFonts w:hint="eastAsia" w:ascii="宋体" w:hAnsi="宋体" w:eastAsia="宋体" w:cs="宋体"/>
          <w:color w:val="auto"/>
          <w:sz w:val="21"/>
          <w:szCs w:val="21"/>
          <w:highlight w:val="none"/>
          <w:u w:val="none"/>
        </w:rPr>
        <w:t>、本协议由甲方和乙方双方盖章并由法定代表人或委托代理人</w:t>
      </w:r>
      <w:r>
        <w:rPr>
          <w:rFonts w:hint="eastAsia" w:ascii="宋体" w:hAnsi="宋体" w:eastAsia="宋体" w:cs="宋体"/>
          <w:color w:val="auto"/>
          <w:sz w:val="21"/>
          <w:szCs w:val="21"/>
          <w:highlight w:val="none"/>
          <w:u w:val="none"/>
          <w:lang w:val="en-US" w:eastAsia="zh-CN"/>
        </w:rPr>
        <w:t>签署</w:t>
      </w:r>
      <w:r>
        <w:rPr>
          <w:rFonts w:hint="eastAsia" w:ascii="宋体" w:hAnsi="宋体" w:eastAsia="宋体" w:cs="宋体"/>
          <w:color w:val="auto"/>
          <w:sz w:val="21"/>
          <w:szCs w:val="21"/>
          <w:highlight w:val="none"/>
          <w:u w:val="none"/>
        </w:rPr>
        <w:t>后生效</w:t>
      </w:r>
      <w:r>
        <w:rPr>
          <w:rFonts w:hint="eastAsia" w:ascii="宋体" w:hAnsi="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作为《</w:t>
      </w:r>
      <w:r>
        <w:rPr>
          <w:rFonts w:hint="eastAsia" w:ascii="宋体" w:hAnsi="宋体" w:eastAsia="宋体" w:cs="宋体"/>
          <w:color w:val="auto"/>
          <w:sz w:val="21"/>
          <w:szCs w:val="21"/>
          <w:highlight w:val="none"/>
          <w:u w:val="none"/>
          <w:lang w:eastAsia="zh-CN"/>
        </w:rPr>
        <w:t>服务合同</w:t>
      </w:r>
      <w:r>
        <w:rPr>
          <w:rFonts w:hint="eastAsia" w:ascii="宋体" w:hAnsi="宋体" w:eastAsia="宋体" w:cs="宋体"/>
          <w:color w:val="auto"/>
          <w:sz w:val="21"/>
          <w:szCs w:val="21"/>
          <w:highlight w:val="none"/>
          <w:u w:val="none"/>
        </w:rPr>
        <w:t>》</w:t>
      </w:r>
      <w:r>
        <w:rPr>
          <w:rFonts w:hint="eastAsia" w:ascii="宋体" w:hAnsi="宋体" w:cs="宋体"/>
          <w:color w:val="auto"/>
          <w:sz w:val="21"/>
          <w:szCs w:val="21"/>
          <w:highlight w:val="none"/>
          <w:u w:val="none"/>
          <w:lang w:val="en-US" w:eastAsia="zh-CN"/>
        </w:rPr>
        <w:t>的</w:t>
      </w:r>
      <w:r>
        <w:rPr>
          <w:rFonts w:hint="eastAsia" w:ascii="宋体" w:hAnsi="宋体" w:eastAsia="宋体" w:cs="宋体"/>
          <w:color w:val="auto"/>
          <w:sz w:val="21"/>
          <w:szCs w:val="21"/>
          <w:highlight w:val="none"/>
          <w:u w:val="none"/>
        </w:rPr>
        <w:t>从</w:t>
      </w:r>
      <w:r>
        <w:rPr>
          <w:rFonts w:hint="eastAsia" w:ascii="宋体" w:hAnsi="宋体" w:cs="宋体"/>
          <w:color w:val="auto"/>
          <w:sz w:val="21"/>
          <w:szCs w:val="21"/>
          <w:highlight w:val="none"/>
          <w:u w:val="none"/>
          <w:lang w:eastAsia="zh-CN"/>
        </w:rPr>
        <w:t>协议</w:t>
      </w:r>
      <w:r>
        <w:rPr>
          <w:rFonts w:hint="eastAsia" w:ascii="宋体" w:hAnsi="宋体" w:eastAsia="宋体" w:cs="宋体"/>
          <w:color w:val="auto"/>
          <w:sz w:val="21"/>
          <w:szCs w:val="21"/>
          <w:highlight w:val="none"/>
          <w:u w:val="none"/>
        </w:rPr>
        <w:t>，与《</w:t>
      </w:r>
      <w:r>
        <w:rPr>
          <w:rFonts w:hint="eastAsia" w:ascii="宋体" w:hAnsi="宋体" w:eastAsia="宋体" w:cs="宋体"/>
          <w:color w:val="auto"/>
          <w:sz w:val="21"/>
          <w:szCs w:val="21"/>
          <w:highlight w:val="none"/>
          <w:u w:val="none"/>
          <w:lang w:eastAsia="zh-CN"/>
        </w:rPr>
        <w:t>服务合同</w:t>
      </w:r>
      <w:r>
        <w:rPr>
          <w:rFonts w:hint="eastAsia" w:ascii="宋体" w:hAnsi="宋体" w:eastAsia="宋体" w:cs="宋体"/>
          <w:color w:val="auto"/>
          <w:sz w:val="21"/>
          <w:szCs w:val="21"/>
          <w:highlight w:val="none"/>
          <w:u w:val="none"/>
        </w:rPr>
        <w:t>》具有同等法律效力。本协议不因《</w:t>
      </w:r>
      <w:r>
        <w:rPr>
          <w:rFonts w:hint="eastAsia" w:ascii="宋体" w:hAnsi="宋体" w:eastAsia="宋体" w:cs="宋体"/>
          <w:color w:val="auto"/>
          <w:sz w:val="21"/>
          <w:szCs w:val="21"/>
          <w:highlight w:val="none"/>
          <w:u w:val="none"/>
          <w:lang w:eastAsia="zh-CN"/>
        </w:rPr>
        <w:t>服务合同</w:t>
      </w:r>
      <w:r>
        <w:rPr>
          <w:rFonts w:hint="eastAsia" w:ascii="宋体" w:hAnsi="宋体" w:eastAsia="宋体" w:cs="宋体"/>
          <w:color w:val="auto"/>
          <w:sz w:val="21"/>
          <w:szCs w:val="21"/>
          <w:highlight w:val="none"/>
          <w:u w:val="none"/>
        </w:rPr>
        <w:t>》的无效而无效。</w:t>
      </w:r>
    </w:p>
    <w:p w14:paraId="785E29C6">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二十</w:t>
      </w:r>
      <w:r>
        <w:rPr>
          <w:rFonts w:hint="eastAsia" w:ascii="宋体" w:hAnsi="宋体" w:cs="宋体"/>
          <w:color w:val="auto"/>
          <w:sz w:val="21"/>
          <w:szCs w:val="21"/>
          <w:highlight w:val="none"/>
          <w:u w:val="none"/>
          <w:lang w:val="en-US" w:eastAsia="zh-CN"/>
        </w:rPr>
        <w:t>三</w:t>
      </w:r>
      <w:r>
        <w:rPr>
          <w:rFonts w:hint="eastAsia" w:ascii="宋体" w:hAnsi="宋体" w:eastAsia="宋体" w:cs="宋体"/>
          <w:color w:val="auto"/>
          <w:sz w:val="21"/>
          <w:szCs w:val="21"/>
          <w:highlight w:val="none"/>
          <w:u w:val="none"/>
        </w:rPr>
        <w:t>、本协议一式捌份，甲方执</w:t>
      </w:r>
      <w:r>
        <w:rPr>
          <w:rFonts w:hint="eastAsia" w:ascii="宋体" w:hAnsi="宋体" w:eastAsia="宋体" w:cs="宋体"/>
          <w:color w:val="auto"/>
          <w:sz w:val="21"/>
          <w:szCs w:val="21"/>
          <w:highlight w:val="none"/>
          <w:u w:val="none"/>
          <w:lang w:val="en-US" w:eastAsia="zh-CN"/>
        </w:rPr>
        <w:t>陆</w:t>
      </w:r>
      <w:r>
        <w:rPr>
          <w:rFonts w:hint="eastAsia" w:ascii="宋体" w:hAnsi="宋体" w:eastAsia="宋体" w:cs="宋体"/>
          <w:color w:val="auto"/>
          <w:sz w:val="21"/>
          <w:szCs w:val="21"/>
          <w:highlight w:val="none"/>
          <w:u w:val="none"/>
        </w:rPr>
        <w:t>份，乙方执</w:t>
      </w:r>
      <w:r>
        <w:rPr>
          <w:rFonts w:hint="eastAsia" w:ascii="宋体" w:hAnsi="宋体" w:eastAsia="宋体" w:cs="宋体"/>
          <w:color w:val="auto"/>
          <w:sz w:val="21"/>
          <w:szCs w:val="21"/>
          <w:highlight w:val="none"/>
          <w:u w:val="none"/>
          <w:lang w:eastAsia="zh-CN"/>
        </w:rPr>
        <w:t>贰</w:t>
      </w:r>
      <w:r>
        <w:rPr>
          <w:rFonts w:hint="eastAsia" w:ascii="宋体" w:hAnsi="宋体" w:eastAsia="宋体" w:cs="宋体"/>
          <w:color w:val="auto"/>
          <w:sz w:val="21"/>
          <w:szCs w:val="21"/>
          <w:highlight w:val="none"/>
          <w:u w:val="none"/>
        </w:rPr>
        <w:t>份，具有同等法律效力。</w:t>
      </w:r>
    </w:p>
    <w:p w14:paraId="503D88BD">
      <w:pPr>
        <w:snapToGrid w:val="0"/>
        <w:spacing w:line="360" w:lineRule="auto"/>
        <w:ind w:firstLine="555"/>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（以下无正文）</w:t>
      </w:r>
    </w:p>
    <w:p w14:paraId="5905E30D">
      <w:pPr>
        <w:snapToGrid w:val="0"/>
        <w:spacing w:line="360" w:lineRule="auto"/>
        <w:rPr>
          <w:rFonts w:hint="eastAsia" w:ascii="宋体" w:hAnsi="宋体" w:eastAsia="宋体" w:cs="宋体"/>
          <w:color w:val="auto"/>
          <w:sz w:val="21"/>
          <w:szCs w:val="21"/>
          <w:highlight w:val="none"/>
          <w:u w:val="none"/>
        </w:rPr>
      </w:pPr>
    </w:p>
    <w:p w14:paraId="1599299A">
      <w:pPr>
        <w:snapToGrid w:val="0"/>
        <w:spacing w:line="360" w:lineRule="auto"/>
        <w:rPr>
          <w:rFonts w:hint="eastAsia" w:ascii="宋体" w:hAnsi="宋体" w:eastAsia="宋体" w:cs="宋体"/>
          <w:color w:val="auto"/>
          <w:sz w:val="21"/>
          <w:szCs w:val="21"/>
          <w:highlight w:val="none"/>
          <w:u w:val="none"/>
          <w:lang w:eastAsia="zh-CN"/>
        </w:rPr>
      </w:pPr>
      <w:r>
        <w:rPr>
          <w:rFonts w:hint="eastAsia" w:ascii="宋体" w:hAnsi="宋体" w:eastAsia="宋体" w:cs="宋体"/>
          <w:color w:val="auto"/>
          <w:sz w:val="21"/>
          <w:szCs w:val="21"/>
          <w:highlight w:val="none"/>
          <w:u w:val="none"/>
        </w:rPr>
        <w:t>甲方（盖章）：</w:t>
      </w:r>
      <w:r>
        <w:rPr>
          <w:rFonts w:hint="eastAsia"/>
          <w:color w:val="auto"/>
          <w:sz w:val="21"/>
          <w:szCs w:val="21"/>
          <w:highlight w:val="none"/>
          <w:lang w:val="zh-CN"/>
        </w:rPr>
        <w:t>广东南传广场开发有限公司</w:t>
      </w:r>
    </w:p>
    <w:p w14:paraId="2CE08D5F">
      <w:pPr>
        <w:snapToGrid w:val="0"/>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法定代表人或其委托代理人</w:t>
      </w:r>
      <w:r>
        <w:rPr>
          <w:rFonts w:hint="eastAsia" w:ascii="宋体" w:hAnsi="宋体" w:cs="宋体"/>
          <w:color w:val="auto"/>
          <w:sz w:val="21"/>
          <w:szCs w:val="21"/>
          <w:highlight w:val="none"/>
          <w:u w:val="none"/>
          <w:lang w:eastAsia="zh-CN"/>
        </w:rPr>
        <w:t>（</w:t>
      </w:r>
      <w:r>
        <w:rPr>
          <w:rFonts w:hint="eastAsia" w:ascii="宋体" w:hAnsi="宋体" w:cs="宋体"/>
          <w:color w:val="auto"/>
          <w:sz w:val="21"/>
          <w:szCs w:val="21"/>
          <w:highlight w:val="none"/>
          <w:u w:val="none"/>
          <w:lang w:val="en-US" w:eastAsia="zh-CN"/>
        </w:rPr>
        <w:t>签名</w:t>
      </w:r>
      <w:r>
        <w:rPr>
          <w:rFonts w:hint="eastAsia" w:ascii="宋体" w:hAnsi="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w:t>
      </w:r>
    </w:p>
    <w:p w14:paraId="659030A3">
      <w:pPr>
        <w:snapToGrid w:val="0"/>
        <w:spacing w:line="360" w:lineRule="auto"/>
        <w:rPr>
          <w:rFonts w:hint="eastAsia" w:ascii="宋体" w:hAnsi="宋体" w:eastAsia="宋体" w:cs="宋体"/>
          <w:color w:val="auto"/>
          <w:sz w:val="21"/>
          <w:szCs w:val="21"/>
          <w:highlight w:val="none"/>
          <w:u w:val="none"/>
        </w:rPr>
      </w:pPr>
    </w:p>
    <w:p w14:paraId="382E1B55">
      <w:pPr>
        <w:snapToGrid w:val="0"/>
        <w:spacing w:line="360" w:lineRule="auto"/>
        <w:rPr>
          <w:rFonts w:hint="eastAsia" w:ascii="宋体" w:hAnsi="宋体" w:eastAsia="宋体" w:cs="宋体"/>
          <w:color w:val="auto"/>
          <w:sz w:val="21"/>
          <w:szCs w:val="21"/>
          <w:highlight w:val="none"/>
          <w:u w:val="none"/>
          <w:lang w:val="en-US" w:eastAsia="zh-CN"/>
        </w:rPr>
      </w:pPr>
      <w:r>
        <w:rPr>
          <w:rFonts w:hint="eastAsia" w:ascii="宋体" w:hAnsi="宋体" w:eastAsia="宋体" w:cs="宋体"/>
          <w:color w:val="auto"/>
          <w:sz w:val="21"/>
          <w:szCs w:val="21"/>
          <w:highlight w:val="none"/>
          <w:u w:val="none"/>
        </w:rPr>
        <w:t>乙方（盖章）：</w:t>
      </w:r>
    </w:p>
    <w:p w14:paraId="0823F517">
      <w:pPr>
        <w:snapToGrid w:val="0"/>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法定代表人或其委托代理人</w:t>
      </w:r>
      <w:r>
        <w:rPr>
          <w:rFonts w:hint="eastAsia" w:ascii="宋体" w:hAnsi="宋体" w:cs="宋体"/>
          <w:color w:val="auto"/>
          <w:sz w:val="21"/>
          <w:szCs w:val="21"/>
          <w:highlight w:val="none"/>
          <w:u w:val="none"/>
          <w:lang w:eastAsia="zh-CN"/>
        </w:rPr>
        <w:t>（</w:t>
      </w:r>
      <w:r>
        <w:rPr>
          <w:rFonts w:hint="eastAsia" w:ascii="宋体" w:hAnsi="宋体" w:cs="宋体"/>
          <w:color w:val="auto"/>
          <w:sz w:val="21"/>
          <w:szCs w:val="21"/>
          <w:highlight w:val="none"/>
          <w:u w:val="none"/>
          <w:lang w:val="en-US" w:eastAsia="zh-CN"/>
        </w:rPr>
        <w:t>签名</w:t>
      </w:r>
      <w:r>
        <w:rPr>
          <w:rFonts w:hint="eastAsia" w:ascii="宋体" w:hAnsi="宋体" w:cs="宋体"/>
          <w:color w:val="auto"/>
          <w:sz w:val="21"/>
          <w:szCs w:val="21"/>
          <w:highlight w:val="none"/>
          <w:u w:val="none"/>
          <w:lang w:eastAsia="zh-CN"/>
        </w:rPr>
        <w:t>）</w:t>
      </w:r>
      <w:r>
        <w:rPr>
          <w:rFonts w:hint="eastAsia" w:ascii="宋体" w:hAnsi="宋体" w:eastAsia="宋体" w:cs="宋体"/>
          <w:color w:val="auto"/>
          <w:sz w:val="21"/>
          <w:szCs w:val="21"/>
          <w:highlight w:val="none"/>
          <w:u w:val="none"/>
        </w:rPr>
        <w:t>：</w:t>
      </w:r>
    </w:p>
    <w:p w14:paraId="673C8F2B">
      <w:pPr>
        <w:snapToGrid w:val="0"/>
        <w:spacing w:line="360" w:lineRule="auto"/>
        <w:ind w:firstLine="4620" w:firstLineChars="2200"/>
        <w:rPr>
          <w:rFonts w:hint="eastAsia" w:ascii="宋体" w:hAnsi="宋体" w:eastAsia="宋体" w:cs="宋体"/>
          <w:color w:val="auto"/>
          <w:sz w:val="21"/>
          <w:szCs w:val="21"/>
          <w:highlight w:val="none"/>
          <w:u w:val="none"/>
        </w:rPr>
      </w:pPr>
    </w:p>
    <w:p w14:paraId="4E6BE3CB">
      <w:pPr>
        <w:snapToGrid w:val="0"/>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签约地点：广州市</w:t>
      </w:r>
    </w:p>
    <w:p w14:paraId="456431BE">
      <w:pPr>
        <w:snapToGrid w:val="0"/>
        <w:spacing w:line="360" w:lineRule="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u w:val="none"/>
        </w:rPr>
        <w:t>签约日期：</w:t>
      </w:r>
      <w:r>
        <w:rPr>
          <w:rFonts w:hint="eastAsia" w:ascii="宋体" w:hAnsi="宋体" w:eastAsia="宋体" w:cs="宋体"/>
          <w:color w:val="auto"/>
          <w:sz w:val="21"/>
          <w:szCs w:val="21"/>
          <w:highlight w:val="none"/>
          <w:u w:val="none"/>
          <w:lang w:eastAsia="zh-CN"/>
        </w:rPr>
        <w:t>202</w:t>
      </w:r>
      <w:r>
        <w:rPr>
          <w:rFonts w:hint="eastAsia" w:ascii="宋体" w:hAnsi="宋体" w:eastAsia="宋体" w:cs="宋体"/>
          <w:color w:val="auto"/>
          <w:sz w:val="21"/>
          <w:szCs w:val="21"/>
          <w:highlight w:val="none"/>
          <w:u w:val="none"/>
          <w:lang w:val="en-US" w:eastAsia="zh-CN"/>
        </w:rPr>
        <w:t>5</w:t>
      </w:r>
      <w:r>
        <w:rPr>
          <w:rFonts w:hint="eastAsia" w:ascii="宋体" w:hAnsi="宋体" w:eastAsia="宋体" w:cs="宋体"/>
          <w:color w:val="auto"/>
          <w:sz w:val="21"/>
          <w:szCs w:val="21"/>
          <w:highlight w:val="none"/>
          <w:u w:val="none"/>
        </w:rPr>
        <w:t>年</w:t>
      </w:r>
      <w:r>
        <w:rPr>
          <w:rFonts w:hint="eastAsia" w:ascii="宋体" w:hAnsi="宋体" w:eastAsia="宋体" w:cs="宋体"/>
          <w:color w:val="auto"/>
          <w:sz w:val="21"/>
          <w:szCs w:val="21"/>
          <w:highlight w:val="none"/>
          <w:u w:val="none"/>
          <w:lang w:val="en-US" w:eastAsia="zh-CN"/>
        </w:rPr>
        <w:t xml:space="preserve"> </w:t>
      </w:r>
      <w:r>
        <w:rPr>
          <w:rFonts w:hint="eastAsia" w:ascii="宋体" w:hAnsi="宋体" w:eastAsia="宋体" w:cs="宋体"/>
          <w:color w:val="auto"/>
          <w:sz w:val="21"/>
          <w:szCs w:val="21"/>
          <w:highlight w:val="none"/>
          <w:u w:val="none"/>
        </w:rPr>
        <w:t>月   日</w:t>
      </w:r>
    </w:p>
    <w:p w14:paraId="7C17AF11">
      <w:pPr>
        <w:snapToGrid w:val="0"/>
        <w:spacing w:line="360" w:lineRule="auto"/>
        <w:rPr>
          <w:rFonts w:hint="eastAsia" w:ascii="宋体" w:hAnsi="宋体" w:eastAsia="宋体" w:cs="宋体"/>
          <w:color w:val="auto"/>
          <w:sz w:val="21"/>
          <w:szCs w:val="21"/>
          <w:highlight w:val="none"/>
          <w:u w:val="none"/>
        </w:rPr>
      </w:pPr>
    </w:p>
    <w:p w14:paraId="5E55B260">
      <w:pPr>
        <w:adjustRightInd w:val="0"/>
        <w:snapToGrid w:val="0"/>
        <w:spacing w:line="560" w:lineRule="exact"/>
        <w:rPr>
          <w:rFonts w:eastAsia="仿宋_GB2312"/>
          <w:b/>
          <w:color w:val="auto"/>
          <w:sz w:val="28"/>
          <w:szCs w:val="28"/>
          <w:highlight w:val="none"/>
        </w:rPr>
      </w:pPr>
    </w:p>
    <w:p w14:paraId="7F92D5E0">
      <w:pPr>
        <w:rPr>
          <w:rFonts w:hint="eastAsia" w:ascii="宋体" w:hAnsi="宋体"/>
          <w:color w:val="auto"/>
          <w:highlight w:val="none"/>
        </w:rPr>
      </w:pPr>
    </w:p>
    <w:p w14:paraId="524B6516">
      <w:pPr>
        <w:rPr>
          <w:rFonts w:ascii="Times New Roman" w:hAnsi="Times New Roman" w:eastAsia="宋体"/>
          <w:color w:val="auto"/>
          <w:szCs w:val="24"/>
          <w:highlight w:val="none"/>
        </w:rPr>
      </w:pPr>
    </w:p>
    <w:p w14:paraId="5E6300FD">
      <w:pPr>
        <w:tabs>
          <w:tab w:val="center" w:pos="4507"/>
        </w:tabs>
        <w:jc w:val="left"/>
        <w:rPr>
          <w:rFonts w:ascii="宋体" w:hAnsi="宋体" w:eastAsia="宋体"/>
          <w:color w:val="auto"/>
          <w:highlight w:val="none"/>
        </w:rPr>
        <w:sectPr>
          <w:footerReference r:id="rId4" w:type="even"/>
          <w:pgSz w:w="11906" w:h="16838"/>
          <w:pgMar w:top="1440" w:right="1800" w:bottom="1440" w:left="1800" w:header="720" w:footer="720" w:gutter="0"/>
          <w:pgBorders>
            <w:top w:val="none" w:sz="0" w:space="0"/>
            <w:left w:val="none" w:sz="0" w:space="0"/>
            <w:bottom w:val="none" w:sz="0" w:space="0"/>
            <w:right w:val="none" w:sz="0" w:space="0"/>
          </w:pgBorders>
          <w:cols w:space="720" w:num="1"/>
          <w:docGrid w:linePitch="286" w:charSpace="0"/>
        </w:sectPr>
      </w:pPr>
    </w:p>
    <w:bookmarkEnd w:id="446"/>
    <w:bookmarkEnd w:id="447"/>
    <w:bookmarkEnd w:id="448"/>
    <w:bookmarkEnd w:id="449"/>
    <w:p w14:paraId="12E3C15A">
      <w:pPr>
        <w:pStyle w:val="2"/>
        <w:rPr>
          <w:rFonts w:hint="eastAsia" w:eastAsia="宋体"/>
          <w:color w:val="auto"/>
          <w:highlight w:val="none"/>
          <w:lang w:eastAsia="zh-CN"/>
        </w:rPr>
      </w:pPr>
      <w:bookmarkStart w:id="498" w:name="_Toc138236393"/>
      <w:bookmarkStart w:id="499" w:name="_Toc24530"/>
      <w:r>
        <w:rPr>
          <w:rFonts w:hint="eastAsia"/>
          <w:color w:val="auto"/>
          <w:highlight w:val="none"/>
        </w:rPr>
        <w:t xml:space="preserve">第五章 </w:t>
      </w:r>
      <w:bookmarkEnd w:id="498"/>
      <w:r>
        <w:rPr>
          <w:rFonts w:hint="eastAsia"/>
          <w:color w:val="auto"/>
          <w:highlight w:val="none"/>
          <w:lang w:eastAsia="zh-CN"/>
        </w:rPr>
        <w:t>招标人需求</w:t>
      </w:r>
      <w:bookmarkEnd w:id="499"/>
    </w:p>
    <w:p w14:paraId="04BF53C2">
      <w:pPr>
        <w:rPr>
          <w:rFonts w:hint="eastAsia"/>
          <w:color w:val="auto"/>
          <w:highlight w:val="none"/>
        </w:rPr>
      </w:pPr>
    </w:p>
    <w:p w14:paraId="3B67E12D">
      <w:pPr>
        <w:pStyle w:val="113"/>
        <w:numPr>
          <w:ilvl w:val="0"/>
          <w:numId w:val="0"/>
        </w:numPr>
        <w:ind w:left="0" w:leftChars="0" w:firstLine="0" w:firstLineChars="0"/>
        <w:jc w:val="both"/>
        <w:rPr>
          <w:rFonts w:hint="eastAsia" w:ascii="宋体" w:hAnsi="宋体" w:eastAsia="宋体"/>
          <w:b/>
          <w:color w:val="auto"/>
          <w:highlight w:val="none"/>
        </w:rPr>
      </w:pPr>
      <w:bookmarkStart w:id="500" w:name="OLE_LINK7"/>
      <w:r>
        <w:rPr>
          <w:rFonts w:hint="eastAsia" w:ascii="宋体" w:hAnsi="宋体"/>
          <w:b/>
          <w:color w:val="auto"/>
          <w:highlight w:val="none"/>
          <w:lang w:val="en-US" w:eastAsia="zh-CN"/>
        </w:rPr>
        <w:t>一、</w:t>
      </w:r>
      <w:r>
        <w:rPr>
          <w:rFonts w:hint="eastAsia" w:ascii="宋体" w:hAnsi="宋体" w:eastAsia="宋体"/>
          <w:b/>
          <w:color w:val="auto"/>
          <w:highlight w:val="none"/>
        </w:rPr>
        <w:t>项目基本情况</w:t>
      </w:r>
    </w:p>
    <w:bookmarkEnd w:id="500"/>
    <w:p w14:paraId="1CFE2711">
      <w:pPr>
        <w:spacing w:line="360" w:lineRule="auto"/>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（一）</w:t>
      </w:r>
      <w:r>
        <w:rPr>
          <w:rFonts w:hint="eastAsia" w:ascii="宋体" w:hAnsi="宋体" w:eastAsia="宋体"/>
          <w:b/>
          <w:bCs/>
          <w:color w:val="auto"/>
          <w:highlight w:val="none"/>
        </w:rPr>
        <w:t>项目情况</w:t>
      </w:r>
      <w:r>
        <w:rPr>
          <w:rFonts w:hint="eastAsia" w:ascii="宋体" w:hAnsi="宋体" w:eastAsia="宋体"/>
          <w:color w:val="auto"/>
          <w:highlight w:val="none"/>
        </w:rPr>
        <w:t>：</w:t>
      </w:r>
      <w:r>
        <w:rPr>
          <w:rFonts w:ascii="宋体" w:hAnsi="宋体" w:eastAsia="宋体"/>
          <w:color w:val="auto"/>
          <w:highlight w:val="none"/>
        </w:rPr>
        <w:t>广州国际文化中心位于广州市海珠区琶洲全球智慧城市示范区核心区，项目占地面积7671平方米，总建筑面积约16.25万平方米，地上56层地下5 层，主体建筑高度320 米。项目由南方出版传媒股份有限公司(股票代码:601900)投资开发，是目前省属文化企业最大的文化物业投资项目，总投资约为45.6亿元。项目作为省出版集团和南方传媒文化强省建设的重要抓手，定位为广州城市文化新标杆、粤港澳大湾区文化创意新高地、国际文化企业总部新集群。项目落成后将服务于文化创意、媒体融合、金融、高科技与互联网、专业服务等国内外优秀企业的办公需求</w:t>
      </w:r>
      <w:r>
        <w:rPr>
          <w:rFonts w:hint="eastAsia" w:ascii="宋体" w:hAnsi="宋体" w:eastAsia="宋体"/>
          <w:color w:val="auto"/>
          <w:highlight w:val="none"/>
        </w:rPr>
        <w:t>。</w:t>
      </w:r>
    </w:p>
    <w:p w14:paraId="456A1060">
      <w:pPr>
        <w:spacing w:line="360" w:lineRule="auto"/>
        <w:jc w:val="both"/>
        <w:rPr>
          <w:rFonts w:hint="eastAsia" w:ascii="宋体" w:hAnsi="宋体" w:eastAsia="宋体"/>
          <w:color w:val="auto"/>
          <w:highlight w:val="none"/>
        </w:rPr>
      </w:pPr>
      <w:r>
        <w:rPr>
          <w:rFonts w:hint="eastAsia" w:ascii="宋体" w:hAnsi="宋体" w:eastAsia="宋体"/>
          <w:color w:val="auto"/>
          <w:highlight w:val="none"/>
        </w:rPr>
        <w:t>（二）</w:t>
      </w:r>
      <w:r>
        <w:rPr>
          <w:rFonts w:hint="eastAsia" w:ascii="宋体" w:hAnsi="宋体" w:eastAsia="宋体"/>
          <w:b/>
          <w:bCs/>
          <w:color w:val="auto"/>
          <w:highlight w:val="none"/>
        </w:rPr>
        <w:t>可出租面积及范围</w:t>
      </w:r>
      <w:r>
        <w:rPr>
          <w:rFonts w:hint="eastAsia" w:ascii="宋体" w:hAnsi="宋体" w:eastAsia="宋体"/>
          <w:color w:val="auto"/>
          <w:highlight w:val="none"/>
        </w:rPr>
        <w:t>：本次出租代理为项目写字楼部分，建筑面积共104003.64㎡（</w:t>
      </w:r>
      <w:r>
        <w:rPr>
          <w:rFonts w:hint="eastAsia" w:ascii="宋体" w:hAnsi="宋体" w:eastAsia="宋体"/>
          <w:color w:val="auto"/>
          <w:highlight w:val="none"/>
          <w:lang w:eastAsia="zh-CN"/>
        </w:rPr>
        <w:t>范围为6-53层</w:t>
      </w:r>
      <w:r>
        <w:rPr>
          <w:rFonts w:hint="eastAsia" w:ascii="宋体" w:hAnsi="宋体" w:eastAsia="宋体"/>
          <w:color w:val="auto"/>
          <w:highlight w:val="none"/>
        </w:rPr>
        <w:t>，不含避难层及空中大堂），授权代理租赁面积</w:t>
      </w:r>
      <w:r>
        <w:rPr>
          <w:rFonts w:hint="eastAsia" w:ascii="宋体" w:hAnsi="宋体" w:eastAsia="宋体"/>
          <w:color w:val="auto"/>
          <w:highlight w:val="none"/>
          <w:lang w:eastAsia="zh-CN"/>
        </w:rPr>
        <w:t>8</w:t>
      </w:r>
      <w:r>
        <w:rPr>
          <w:rFonts w:hint="eastAsia" w:ascii="宋体" w:hAnsi="宋体" w:eastAsia="宋体"/>
          <w:color w:val="auto"/>
          <w:highlight w:val="none"/>
          <w:lang w:val="en-US" w:eastAsia="zh-CN"/>
        </w:rPr>
        <w:t>3202.91</w:t>
      </w:r>
      <w:r>
        <w:rPr>
          <w:rFonts w:hint="eastAsia" w:ascii="宋体" w:hAnsi="宋体" w:eastAsia="宋体"/>
          <w:color w:val="auto"/>
          <w:highlight w:val="none"/>
        </w:rPr>
        <w:t>㎡（</w:t>
      </w:r>
      <w:r>
        <w:rPr>
          <w:rFonts w:hint="eastAsia" w:ascii="宋体" w:hAnsi="宋体" w:eastAsia="宋体"/>
          <w:color w:val="auto"/>
          <w:highlight w:val="none"/>
          <w:lang w:val="en-US" w:eastAsia="zh-CN"/>
        </w:rPr>
        <w:t>占</w:t>
      </w:r>
      <w:r>
        <w:rPr>
          <w:rFonts w:hint="eastAsia" w:ascii="宋体" w:hAnsi="宋体" w:eastAsia="宋体"/>
          <w:color w:val="auto"/>
          <w:highlight w:val="none"/>
        </w:rPr>
        <w:t>写字楼总</w:t>
      </w:r>
      <w:r>
        <w:rPr>
          <w:rFonts w:hint="eastAsia" w:ascii="宋体" w:hAnsi="宋体" w:eastAsia="宋体"/>
          <w:color w:val="auto"/>
          <w:highlight w:val="none"/>
          <w:lang w:val="en-US" w:eastAsia="zh-CN"/>
        </w:rPr>
        <w:t>出租</w:t>
      </w:r>
      <w:r>
        <w:rPr>
          <w:rFonts w:hint="eastAsia" w:ascii="宋体" w:hAnsi="宋体" w:eastAsia="宋体"/>
          <w:color w:val="auto"/>
          <w:highlight w:val="none"/>
        </w:rPr>
        <w:t>面积的8</w:t>
      </w:r>
      <w:r>
        <w:rPr>
          <w:rFonts w:hint="eastAsia" w:ascii="宋体" w:hAnsi="宋体" w:eastAsia="宋体"/>
          <w:color w:val="auto"/>
          <w:highlight w:val="none"/>
          <w:lang w:val="en-US" w:eastAsia="zh-CN"/>
        </w:rPr>
        <w:t>0</w:t>
      </w:r>
      <w:r>
        <w:rPr>
          <w:rFonts w:hint="eastAsia" w:ascii="宋体" w:hAnsi="宋体" w:eastAsia="宋体"/>
          <w:color w:val="auto"/>
          <w:highlight w:val="none"/>
        </w:rPr>
        <w:t>%），不指定楼层（见下表）。</w:t>
      </w:r>
    </w:p>
    <w:tbl>
      <w:tblPr>
        <w:tblStyle w:val="32"/>
        <w:tblW w:w="83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4"/>
        <w:gridCol w:w="2093"/>
        <w:gridCol w:w="1947"/>
        <w:gridCol w:w="1904"/>
      </w:tblGrid>
      <w:tr w14:paraId="7BC00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single" w:color="000000" w:sz="8" w:space="0"/>
              <w:left w:val="single" w:color="000000" w:sz="8" w:space="0"/>
              <w:bottom w:val="single" w:color="000000" w:sz="8" w:space="0"/>
              <w:right w:val="single" w:color="000000" w:sz="8" w:space="0"/>
            </w:tcBorders>
            <w:noWrap/>
            <w:vAlign w:val="bottom"/>
          </w:tcPr>
          <w:p w14:paraId="1CA6F7FC">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办公</w:t>
            </w:r>
          </w:p>
        </w:tc>
        <w:tc>
          <w:tcPr>
            <w:tcW w:w="2093" w:type="dxa"/>
            <w:tcBorders>
              <w:top w:val="single" w:color="000000" w:sz="8" w:space="0"/>
              <w:left w:val="nil"/>
              <w:bottom w:val="single" w:color="000000" w:sz="8" w:space="0"/>
              <w:right w:val="single" w:color="000000" w:sz="8" w:space="0"/>
            </w:tcBorders>
            <w:noWrap/>
            <w:vAlign w:val="bottom"/>
          </w:tcPr>
          <w:p w14:paraId="0339E74D">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分摊前面积㎡</w:t>
            </w:r>
          </w:p>
        </w:tc>
        <w:tc>
          <w:tcPr>
            <w:tcW w:w="1947" w:type="dxa"/>
            <w:tcBorders>
              <w:top w:val="single" w:color="000000" w:sz="8" w:space="0"/>
              <w:left w:val="nil"/>
              <w:bottom w:val="single" w:color="000000" w:sz="8" w:space="0"/>
              <w:right w:val="single" w:color="000000" w:sz="8" w:space="0"/>
            </w:tcBorders>
            <w:noWrap/>
            <w:vAlign w:val="bottom"/>
          </w:tcPr>
          <w:p w14:paraId="0B95C79F">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分摊面积㎡</w:t>
            </w:r>
          </w:p>
        </w:tc>
        <w:tc>
          <w:tcPr>
            <w:tcW w:w="1904" w:type="dxa"/>
            <w:tcBorders>
              <w:top w:val="single" w:color="000000" w:sz="8" w:space="0"/>
              <w:left w:val="nil"/>
              <w:bottom w:val="single" w:color="000000" w:sz="8" w:space="0"/>
              <w:right w:val="single" w:color="000000" w:sz="8" w:space="0"/>
            </w:tcBorders>
            <w:noWrap/>
            <w:vAlign w:val="center"/>
          </w:tcPr>
          <w:p w14:paraId="0324DEE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分摊后面积㎡</w:t>
            </w:r>
          </w:p>
        </w:tc>
      </w:tr>
      <w:tr w14:paraId="2FAC6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bottom"/>
          </w:tcPr>
          <w:p w14:paraId="48250745">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6层</w:t>
            </w:r>
          </w:p>
        </w:tc>
        <w:tc>
          <w:tcPr>
            <w:tcW w:w="2093" w:type="dxa"/>
            <w:tcBorders>
              <w:top w:val="nil"/>
              <w:left w:val="nil"/>
              <w:bottom w:val="single" w:color="000000" w:sz="8" w:space="0"/>
              <w:right w:val="single" w:color="000000" w:sz="8" w:space="0"/>
            </w:tcBorders>
            <w:noWrap/>
            <w:vAlign w:val="center"/>
          </w:tcPr>
          <w:p w14:paraId="69432C1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1552.02 </w:t>
            </w:r>
          </w:p>
        </w:tc>
        <w:tc>
          <w:tcPr>
            <w:tcW w:w="1947" w:type="dxa"/>
            <w:tcBorders>
              <w:top w:val="nil"/>
              <w:left w:val="nil"/>
              <w:bottom w:val="single" w:color="000000" w:sz="8" w:space="0"/>
              <w:right w:val="single" w:color="000000" w:sz="8" w:space="0"/>
            </w:tcBorders>
            <w:noWrap/>
            <w:vAlign w:val="bottom"/>
          </w:tcPr>
          <w:p w14:paraId="793A523F">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1310.27 </w:t>
            </w:r>
          </w:p>
        </w:tc>
        <w:tc>
          <w:tcPr>
            <w:tcW w:w="1904" w:type="dxa"/>
            <w:tcBorders>
              <w:top w:val="nil"/>
              <w:left w:val="nil"/>
              <w:bottom w:val="single" w:color="000000" w:sz="8" w:space="0"/>
              <w:right w:val="single" w:color="000000" w:sz="8" w:space="0"/>
            </w:tcBorders>
            <w:noWrap/>
            <w:vAlign w:val="center"/>
          </w:tcPr>
          <w:p w14:paraId="46F32B0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2862.29 </w:t>
            </w:r>
          </w:p>
        </w:tc>
      </w:tr>
      <w:tr w14:paraId="3D4BB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bottom"/>
          </w:tcPr>
          <w:p w14:paraId="0F6D1AFA">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7层</w:t>
            </w:r>
          </w:p>
        </w:tc>
        <w:tc>
          <w:tcPr>
            <w:tcW w:w="2093" w:type="dxa"/>
            <w:tcBorders>
              <w:top w:val="nil"/>
              <w:left w:val="nil"/>
              <w:bottom w:val="single" w:color="000000" w:sz="8" w:space="0"/>
              <w:right w:val="single" w:color="000000" w:sz="8" w:space="0"/>
            </w:tcBorders>
            <w:noWrap/>
            <w:vAlign w:val="center"/>
          </w:tcPr>
          <w:p w14:paraId="5BA5846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1470.49 </w:t>
            </w:r>
          </w:p>
        </w:tc>
        <w:tc>
          <w:tcPr>
            <w:tcW w:w="1947" w:type="dxa"/>
            <w:tcBorders>
              <w:top w:val="nil"/>
              <w:left w:val="nil"/>
              <w:bottom w:val="single" w:color="000000" w:sz="8" w:space="0"/>
              <w:right w:val="single" w:color="000000" w:sz="8" w:space="0"/>
            </w:tcBorders>
            <w:noWrap/>
            <w:vAlign w:val="bottom"/>
          </w:tcPr>
          <w:p w14:paraId="772BBFBF">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1152.11 </w:t>
            </w:r>
          </w:p>
        </w:tc>
        <w:tc>
          <w:tcPr>
            <w:tcW w:w="1904" w:type="dxa"/>
            <w:tcBorders>
              <w:top w:val="nil"/>
              <w:left w:val="nil"/>
              <w:bottom w:val="single" w:color="000000" w:sz="8" w:space="0"/>
              <w:right w:val="single" w:color="000000" w:sz="8" w:space="0"/>
            </w:tcBorders>
            <w:noWrap/>
            <w:vAlign w:val="center"/>
          </w:tcPr>
          <w:p w14:paraId="18BD184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2622.60 </w:t>
            </w:r>
          </w:p>
        </w:tc>
      </w:tr>
      <w:tr w14:paraId="32941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bottom"/>
          </w:tcPr>
          <w:p w14:paraId="7156E349">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9层</w:t>
            </w:r>
          </w:p>
        </w:tc>
        <w:tc>
          <w:tcPr>
            <w:tcW w:w="2093" w:type="dxa"/>
            <w:tcBorders>
              <w:top w:val="nil"/>
              <w:left w:val="nil"/>
              <w:bottom w:val="single" w:color="000000" w:sz="8" w:space="0"/>
              <w:right w:val="single" w:color="000000" w:sz="8" w:space="0"/>
            </w:tcBorders>
            <w:noWrap/>
            <w:vAlign w:val="center"/>
          </w:tcPr>
          <w:p w14:paraId="2AD60F3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1334.14 </w:t>
            </w:r>
          </w:p>
        </w:tc>
        <w:tc>
          <w:tcPr>
            <w:tcW w:w="1947" w:type="dxa"/>
            <w:tcBorders>
              <w:top w:val="nil"/>
              <w:left w:val="nil"/>
              <w:bottom w:val="single" w:color="000000" w:sz="8" w:space="0"/>
              <w:right w:val="single" w:color="000000" w:sz="8" w:space="0"/>
            </w:tcBorders>
            <w:noWrap/>
            <w:vAlign w:val="bottom"/>
          </w:tcPr>
          <w:p w14:paraId="159E65B8">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1005.67 </w:t>
            </w:r>
          </w:p>
        </w:tc>
        <w:tc>
          <w:tcPr>
            <w:tcW w:w="1904" w:type="dxa"/>
            <w:tcBorders>
              <w:top w:val="nil"/>
              <w:left w:val="nil"/>
              <w:bottom w:val="single" w:color="000000" w:sz="8" w:space="0"/>
              <w:right w:val="single" w:color="000000" w:sz="8" w:space="0"/>
            </w:tcBorders>
            <w:noWrap/>
            <w:vAlign w:val="center"/>
          </w:tcPr>
          <w:p w14:paraId="36D5421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2339.81 </w:t>
            </w:r>
          </w:p>
        </w:tc>
      </w:tr>
      <w:tr w14:paraId="60E74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bottom"/>
          </w:tcPr>
          <w:p w14:paraId="0B94C3E0">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10层</w:t>
            </w:r>
          </w:p>
        </w:tc>
        <w:tc>
          <w:tcPr>
            <w:tcW w:w="2093" w:type="dxa"/>
            <w:tcBorders>
              <w:top w:val="nil"/>
              <w:left w:val="nil"/>
              <w:bottom w:val="single" w:color="000000" w:sz="8" w:space="0"/>
              <w:right w:val="single" w:color="000000" w:sz="8" w:space="0"/>
            </w:tcBorders>
            <w:noWrap/>
            <w:vAlign w:val="center"/>
          </w:tcPr>
          <w:p w14:paraId="7119822A">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1334.14 </w:t>
            </w:r>
          </w:p>
        </w:tc>
        <w:tc>
          <w:tcPr>
            <w:tcW w:w="1947" w:type="dxa"/>
            <w:tcBorders>
              <w:top w:val="nil"/>
              <w:left w:val="nil"/>
              <w:bottom w:val="single" w:color="000000" w:sz="8" w:space="0"/>
              <w:right w:val="single" w:color="000000" w:sz="8" w:space="0"/>
            </w:tcBorders>
            <w:noWrap/>
            <w:vAlign w:val="bottom"/>
          </w:tcPr>
          <w:p w14:paraId="4D66F72D">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1005.67 </w:t>
            </w:r>
          </w:p>
        </w:tc>
        <w:tc>
          <w:tcPr>
            <w:tcW w:w="1904" w:type="dxa"/>
            <w:tcBorders>
              <w:top w:val="nil"/>
              <w:left w:val="nil"/>
              <w:bottom w:val="single" w:color="000000" w:sz="8" w:space="0"/>
              <w:right w:val="single" w:color="000000" w:sz="8" w:space="0"/>
            </w:tcBorders>
            <w:noWrap/>
            <w:vAlign w:val="center"/>
          </w:tcPr>
          <w:p w14:paraId="28B6563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2339.81 </w:t>
            </w:r>
          </w:p>
        </w:tc>
      </w:tr>
      <w:tr w14:paraId="302FB3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bottom"/>
          </w:tcPr>
          <w:p w14:paraId="46DBA08E">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11～16层</w:t>
            </w:r>
          </w:p>
        </w:tc>
        <w:tc>
          <w:tcPr>
            <w:tcW w:w="2093" w:type="dxa"/>
            <w:tcBorders>
              <w:top w:val="nil"/>
              <w:left w:val="nil"/>
              <w:bottom w:val="single" w:color="000000" w:sz="8" w:space="0"/>
              <w:right w:val="single" w:color="000000" w:sz="8" w:space="0"/>
            </w:tcBorders>
            <w:noWrap/>
            <w:vAlign w:val="center"/>
          </w:tcPr>
          <w:p w14:paraId="517913F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8013.64 </w:t>
            </w:r>
          </w:p>
        </w:tc>
        <w:tc>
          <w:tcPr>
            <w:tcW w:w="1947" w:type="dxa"/>
            <w:tcBorders>
              <w:top w:val="nil"/>
              <w:left w:val="nil"/>
              <w:bottom w:val="single" w:color="000000" w:sz="8" w:space="0"/>
              <w:right w:val="single" w:color="000000" w:sz="8" w:space="0"/>
            </w:tcBorders>
            <w:noWrap/>
            <w:vAlign w:val="bottom"/>
          </w:tcPr>
          <w:p w14:paraId="5B62DFD1">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6026.72 </w:t>
            </w:r>
          </w:p>
        </w:tc>
        <w:tc>
          <w:tcPr>
            <w:tcW w:w="1904" w:type="dxa"/>
            <w:tcBorders>
              <w:top w:val="nil"/>
              <w:left w:val="nil"/>
              <w:bottom w:val="single" w:color="000000" w:sz="8" w:space="0"/>
              <w:right w:val="single" w:color="000000" w:sz="8" w:space="0"/>
            </w:tcBorders>
            <w:noWrap/>
            <w:vAlign w:val="center"/>
          </w:tcPr>
          <w:p w14:paraId="69FBFE9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14040.36 </w:t>
            </w:r>
          </w:p>
        </w:tc>
      </w:tr>
      <w:tr w14:paraId="5D09E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30953A6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18, 22, 26层</w:t>
            </w:r>
          </w:p>
        </w:tc>
        <w:tc>
          <w:tcPr>
            <w:tcW w:w="2093" w:type="dxa"/>
            <w:tcBorders>
              <w:top w:val="nil"/>
              <w:left w:val="nil"/>
              <w:bottom w:val="single" w:color="000000" w:sz="8" w:space="0"/>
              <w:right w:val="single" w:color="000000" w:sz="8" w:space="0"/>
            </w:tcBorders>
            <w:noWrap/>
            <w:vAlign w:val="center"/>
          </w:tcPr>
          <w:p w14:paraId="243B8C2E">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4038.44 </w:t>
            </w:r>
          </w:p>
        </w:tc>
        <w:tc>
          <w:tcPr>
            <w:tcW w:w="1947" w:type="dxa"/>
            <w:tcBorders>
              <w:top w:val="nil"/>
              <w:left w:val="nil"/>
              <w:bottom w:val="single" w:color="000000" w:sz="8" w:space="0"/>
              <w:right w:val="single" w:color="000000" w:sz="8" w:space="0"/>
            </w:tcBorders>
            <w:noWrap/>
            <w:vAlign w:val="bottom"/>
          </w:tcPr>
          <w:p w14:paraId="5D657557">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3310.53 </w:t>
            </w:r>
          </w:p>
        </w:tc>
        <w:tc>
          <w:tcPr>
            <w:tcW w:w="1904" w:type="dxa"/>
            <w:tcBorders>
              <w:top w:val="nil"/>
              <w:left w:val="nil"/>
              <w:bottom w:val="single" w:color="000000" w:sz="8" w:space="0"/>
              <w:right w:val="single" w:color="000000" w:sz="8" w:space="0"/>
            </w:tcBorders>
            <w:noWrap/>
            <w:vAlign w:val="center"/>
          </w:tcPr>
          <w:p w14:paraId="40186CB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7348.97 </w:t>
            </w:r>
          </w:p>
        </w:tc>
      </w:tr>
      <w:tr w14:paraId="17B136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25A2500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19, 21, 23, 25层</w:t>
            </w:r>
          </w:p>
        </w:tc>
        <w:tc>
          <w:tcPr>
            <w:tcW w:w="2093" w:type="dxa"/>
            <w:tcBorders>
              <w:top w:val="nil"/>
              <w:left w:val="nil"/>
              <w:bottom w:val="single" w:color="000000" w:sz="8" w:space="0"/>
              <w:right w:val="single" w:color="000000" w:sz="8" w:space="0"/>
            </w:tcBorders>
            <w:noWrap/>
            <w:vAlign w:val="center"/>
          </w:tcPr>
          <w:p w14:paraId="76F7DC5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5378.66 </w:t>
            </w:r>
          </w:p>
        </w:tc>
        <w:tc>
          <w:tcPr>
            <w:tcW w:w="1947" w:type="dxa"/>
            <w:tcBorders>
              <w:top w:val="nil"/>
              <w:left w:val="nil"/>
              <w:bottom w:val="single" w:color="000000" w:sz="8" w:space="0"/>
              <w:right w:val="single" w:color="000000" w:sz="8" w:space="0"/>
            </w:tcBorders>
            <w:noWrap/>
            <w:vAlign w:val="bottom"/>
          </w:tcPr>
          <w:p w14:paraId="1588D75D">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4418.90 </w:t>
            </w:r>
          </w:p>
        </w:tc>
        <w:tc>
          <w:tcPr>
            <w:tcW w:w="1904" w:type="dxa"/>
            <w:tcBorders>
              <w:top w:val="nil"/>
              <w:left w:val="nil"/>
              <w:bottom w:val="single" w:color="000000" w:sz="8" w:space="0"/>
              <w:right w:val="single" w:color="000000" w:sz="8" w:space="0"/>
            </w:tcBorders>
            <w:noWrap/>
            <w:vAlign w:val="center"/>
          </w:tcPr>
          <w:p w14:paraId="12F3497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9797.56 </w:t>
            </w:r>
          </w:p>
        </w:tc>
      </w:tr>
      <w:tr w14:paraId="5E437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3C3DA764">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20, 24层</w:t>
            </w:r>
          </w:p>
        </w:tc>
        <w:tc>
          <w:tcPr>
            <w:tcW w:w="2093" w:type="dxa"/>
            <w:tcBorders>
              <w:top w:val="nil"/>
              <w:left w:val="nil"/>
              <w:bottom w:val="single" w:color="000000" w:sz="8" w:space="0"/>
              <w:right w:val="single" w:color="000000" w:sz="8" w:space="0"/>
            </w:tcBorders>
            <w:noWrap/>
            <w:vAlign w:val="center"/>
          </w:tcPr>
          <w:p w14:paraId="3A4BC1A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2686.67 </w:t>
            </w:r>
          </w:p>
        </w:tc>
        <w:tc>
          <w:tcPr>
            <w:tcW w:w="1947" w:type="dxa"/>
            <w:tcBorders>
              <w:top w:val="nil"/>
              <w:left w:val="nil"/>
              <w:bottom w:val="single" w:color="000000" w:sz="8" w:space="0"/>
              <w:right w:val="single" w:color="000000" w:sz="8" w:space="0"/>
            </w:tcBorders>
            <w:noWrap/>
            <w:vAlign w:val="bottom"/>
          </w:tcPr>
          <w:p w14:paraId="3E6D0971">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2211.63 </w:t>
            </w:r>
          </w:p>
        </w:tc>
        <w:tc>
          <w:tcPr>
            <w:tcW w:w="1904" w:type="dxa"/>
            <w:tcBorders>
              <w:top w:val="nil"/>
              <w:left w:val="nil"/>
              <w:bottom w:val="single" w:color="000000" w:sz="8" w:space="0"/>
              <w:right w:val="single" w:color="000000" w:sz="8" w:space="0"/>
            </w:tcBorders>
            <w:noWrap/>
            <w:vAlign w:val="center"/>
          </w:tcPr>
          <w:p w14:paraId="3B30FD9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4898.30 </w:t>
            </w:r>
          </w:p>
        </w:tc>
      </w:tr>
      <w:tr w14:paraId="251A2F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3622007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28, 32, 36层</w:t>
            </w:r>
          </w:p>
        </w:tc>
        <w:tc>
          <w:tcPr>
            <w:tcW w:w="2093" w:type="dxa"/>
            <w:tcBorders>
              <w:top w:val="nil"/>
              <w:left w:val="nil"/>
              <w:bottom w:val="single" w:color="000000" w:sz="8" w:space="0"/>
              <w:right w:val="single" w:color="000000" w:sz="8" w:space="0"/>
            </w:tcBorders>
            <w:noWrap/>
            <w:vAlign w:val="center"/>
          </w:tcPr>
          <w:p w14:paraId="5675017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4126.01 </w:t>
            </w:r>
          </w:p>
        </w:tc>
        <w:tc>
          <w:tcPr>
            <w:tcW w:w="1947" w:type="dxa"/>
            <w:tcBorders>
              <w:top w:val="nil"/>
              <w:left w:val="nil"/>
              <w:bottom w:val="single" w:color="000000" w:sz="8" w:space="0"/>
              <w:right w:val="single" w:color="000000" w:sz="8" w:space="0"/>
            </w:tcBorders>
            <w:noWrap/>
            <w:vAlign w:val="bottom"/>
          </w:tcPr>
          <w:p w14:paraId="5CC7F46B">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3517.17 </w:t>
            </w:r>
          </w:p>
        </w:tc>
        <w:tc>
          <w:tcPr>
            <w:tcW w:w="1904" w:type="dxa"/>
            <w:tcBorders>
              <w:top w:val="nil"/>
              <w:left w:val="nil"/>
              <w:bottom w:val="single" w:color="000000" w:sz="8" w:space="0"/>
              <w:right w:val="single" w:color="000000" w:sz="8" w:space="0"/>
            </w:tcBorders>
            <w:noWrap/>
            <w:vAlign w:val="center"/>
          </w:tcPr>
          <w:p w14:paraId="3048C11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7643.17 </w:t>
            </w:r>
          </w:p>
        </w:tc>
      </w:tr>
      <w:tr w14:paraId="2169B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3BD7F66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29, 31, 33, 35层</w:t>
            </w:r>
          </w:p>
        </w:tc>
        <w:tc>
          <w:tcPr>
            <w:tcW w:w="2093" w:type="dxa"/>
            <w:tcBorders>
              <w:top w:val="nil"/>
              <w:left w:val="nil"/>
              <w:bottom w:val="single" w:color="000000" w:sz="8" w:space="0"/>
              <w:right w:val="single" w:color="000000" w:sz="8" w:space="0"/>
            </w:tcBorders>
            <w:noWrap/>
            <w:vAlign w:val="center"/>
          </w:tcPr>
          <w:p w14:paraId="4FCE9BB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5492.26 </w:t>
            </w:r>
          </w:p>
        </w:tc>
        <w:tc>
          <w:tcPr>
            <w:tcW w:w="1947" w:type="dxa"/>
            <w:tcBorders>
              <w:top w:val="nil"/>
              <w:left w:val="nil"/>
              <w:bottom w:val="single" w:color="000000" w:sz="8" w:space="0"/>
              <w:right w:val="single" w:color="000000" w:sz="8" w:space="0"/>
            </w:tcBorders>
            <w:noWrap/>
            <w:vAlign w:val="bottom"/>
          </w:tcPr>
          <w:p w14:paraId="471B65EC">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4697.00 </w:t>
            </w:r>
          </w:p>
        </w:tc>
        <w:tc>
          <w:tcPr>
            <w:tcW w:w="1904" w:type="dxa"/>
            <w:tcBorders>
              <w:top w:val="nil"/>
              <w:left w:val="nil"/>
              <w:bottom w:val="single" w:color="000000" w:sz="8" w:space="0"/>
              <w:right w:val="single" w:color="000000" w:sz="8" w:space="0"/>
            </w:tcBorders>
            <w:noWrap/>
            <w:vAlign w:val="center"/>
          </w:tcPr>
          <w:p w14:paraId="56B806D7">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10189.27 </w:t>
            </w:r>
          </w:p>
        </w:tc>
      </w:tr>
      <w:tr w14:paraId="16589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51DA8E3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30, 34层</w:t>
            </w:r>
          </w:p>
        </w:tc>
        <w:tc>
          <w:tcPr>
            <w:tcW w:w="2093" w:type="dxa"/>
            <w:tcBorders>
              <w:top w:val="nil"/>
              <w:left w:val="nil"/>
              <w:bottom w:val="single" w:color="000000" w:sz="8" w:space="0"/>
              <w:right w:val="single" w:color="000000" w:sz="8" w:space="0"/>
            </w:tcBorders>
            <w:noWrap/>
            <w:vAlign w:val="center"/>
          </w:tcPr>
          <w:p w14:paraId="42AEAA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2744.09 </w:t>
            </w:r>
          </w:p>
        </w:tc>
        <w:tc>
          <w:tcPr>
            <w:tcW w:w="1947" w:type="dxa"/>
            <w:tcBorders>
              <w:top w:val="nil"/>
              <w:left w:val="nil"/>
              <w:bottom w:val="single" w:color="000000" w:sz="8" w:space="0"/>
              <w:right w:val="single" w:color="000000" w:sz="8" w:space="0"/>
            </w:tcBorders>
            <w:noWrap/>
            <w:vAlign w:val="bottom"/>
          </w:tcPr>
          <w:p w14:paraId="7E395582">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2350.18 </w:t>
            </w:r>
          </w:p>
        </w:tc>
        <w:tc>
          <w:tcPr>
            <w:tcW w:w="1904" w:type="dxa"/>
            <w:tcBorders>
              <w:top w:val="nil"/>
              <w:left w:val="nil"/>
              <w:bottom w:val="single" w:color="000000" w:sz="8" w:space="0"/>
              <w:right w:val="single" w:color="000000" w:sz="8" w:space="0"/>
            </w:tcBorders>
            <w:noWrap/>
            <w:vAlign w:val="center"/>
          </w:tcPr>
          <w:p w14:paraId="1FD1DD9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5094.27 </w:t>
            </w:r>
          </w:p>
        </w:tc>
      </w:tr>
      <w:tr w14:paraId="790CC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6631D0E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39层</w:t>
            </w:r>
          </w:p>
        </w:tc>
        <w:tc>
          <w:tcPr>
            <w:tcW w:w="2093" w:type="dxa"/>
            <w:tcBorders>
              <w:top w:val="nil"/>
              <w:left w:val="nil"/>
              <w:bottom w:val="single" w:color="000000" w:sz="8" w:space="0"/>
              <w:right w:val="single" w:color="000000" w:sz="8" w:space="0"/>
            </w:tcBorders>
            <w:noWrap/>
            <w:vAlign w:val="center"/>
          </w:tcPr>
          <w:p w14:paraId="760DF4B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1381.29 </w:t>
            </w:r>
          </w:p>
        </w:tc>
        <w:tc>
          <w:tcPr>
            <w:tcW w:w="1947" w:type="dxa"/>
            <w:tcBorders>
              <w:top w:val="nil"/>
              <w:left w:val="nil"/>
              <w:bottom w:val="single" w:color="000000" w:sz="8" w:space="0"/>
              <w:right w:val="single" w:color="000000" w:sz="8" w:space="0"/>
            </w:tcBorders>
            <w:noWrap/>
            <w:vAlign w:val="bottom"/>
          </w:tcPr>
          <w:p w14:paraId="7B0773A7">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1004.56 </w:t>
            </w:r>
          </w:p>
        </w:tc>
        <w:tc>
          <w:tcPr>
            <w:tcW w:w="1904" w:type="dxa"/>
            <w:tcBorders>
              <w:top w:val="nil"/>
              <w:left w:val="nil"/>
              <w:bottom w:val="single" w:color="000000" w:sz="8" w:space="0"/>
              <w:right w:val="single" w:color="000000" w:sz="8" w:space="0"/>
            </w:tcBorders>
            <w:noWrap/>
            <w:vAlign w:val="center"/>
          </w:tcPr>
          <w:p w14:paraId="6AA46C45">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2385.84 </w:t>
            </w:r>
          </w:p>
        </w:tc>
      </w:tr>
      <w:tr w14:paraId="6EA6B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5E622F03">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40层</w:t>
            </w:r>
          </w:p>
        </w:tc>
        <w:tc>
          <w:tcPr>
            <w:tcW w:w="2093" w:type="dxa"/>
            <w:tcBorders>
              <w:top w:val="nil"/>
              <w:left w:val="nil"/>
              <w:bottom w:val="single" w:color="000000" w:sz="8" w:space="0"/>
              <w:right w:val="single" w:color="000000" w:sz="8" w:space="0"/>
            </w:tcBorders>
            <w:noWrap/>
            <w:vAlign w:val="center"/>
          </w:tcPr>
          <w:p w14:paraId="07AFDAE0">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1381.29 </w:t>
            </w:r>
          </w:p>
        </w:tc>
        <w:tc>
          <w:tcPr>
            <w:tcW w:w="1947" w:type="dxa"/>
            <w:tcBorders>
              <w:top w:val="nil"/>
              <w:left w:val="nil"/>
              <w:bottom w:val="single" w:color="000000" w:sz="8" w:space="0"/>
              <w:right w:val="single" w:color="000000" w:sz="8" w:space="0"/>
            </w:tcBorders>
            <w:noWrap/>
            <w:vAlign w:val="bottom"/>
          </w:tcPr>
          <w:p w14:paraId="7E5B53AB">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1004.56 </w:t>
            </w:r>
          </w:p>
        </w:tc>
        <w:tc>
          <w:tcPr>
            <w:tcW w:w="1904" w:type="dxa"/>
            <w:tcBorders>
              <w:top w:val="nil"/>
              <w:left w:val="nil"/>
              <w:bottom w:val="single" w:color="000000" w:sz="8" w:space="0"/>
              <w:right w:val="single" w:color="000000" w:sz="8" w:space="0"/>
            </w:tcBorders>
            <w:noWrap/>
            <w:vAlign w:val="center"/>
          </w:tcPr>
          <w:p w14:paraId="5B1A7152">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2385.84 </w:t>
            </w:r>
          </w:p>
        </w:tc>
      </w:tr>
      <w:tr w14:paraId="4CCD0C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1D7FF58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41, 43层</w:t>
            </w:r>
          </w:p>
        </w:tc>
        <w:tc>
          <w:tcPr>
            <w:tcW w:w="2093" w:type="dxa"/>
            <w:tcBorders>
              <w:top w:val="nil"/>
              <w:left w:val="nil"/>
              <w:bottom w:val="single" w:color="000000" w:sz="8" w:space="0"/>
              <w:right w:val="single" w:color="000000" w:sz="8" w:space="0"/>
            </w:tcBorders>
            <w:noWrap/>
            <w:vAlign w:val="center"/>
          </w:tcPr>
          <w:p w14:paraId="67C1E48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2847.87 </w:t>
            </w:r>
          </w:p>
        </w:tc>
        <w:tc>
          <w:tcPr>
            <w:tcW w:w="1947" w:type="dxa"/>
            <w:tcBorders>
              <w:top w:val="nil"/>
              <w:left w:val="nil"/>
              <w:bottom w:val="single" w:color="000000" w:sz="8" w:space="0"/>
              <w:right w:val="single" w:color="000000" w:sz="8" w:space="0"/>
            </w:tcBorders>
            <w:noWrap/>
            <w:vAlign w:val="bottom"/>
          </w:tcPr>
          <w:p w14:paraId="476E57BA">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2079.72 </w:t>
            </w:r>
          </w:p>
        </w:tc>
        <w:tc>
          <w:tcPr>
            <w:tcW w:w="1904" w:type="dxa"/>
            <w:tcBorders>
              <w:top w:val="nil"/>
              <w:left w:val="nil"/>
              <w:bottom w:val="single" w:color="000000" w:sz="8" w:space="0"/>
              <w:right w:val="single" w:color="000000" w:sz="8" w:space="0"/>
            </w:tcBorders>
            <w:noWrap/>
            <w:vAlign w:val="center"/>
          </w:tcPr>
          <w:p w14:paraId="62DF4A2B">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4927.58 </w:t>
            </w:r>
          </w:p>
        </w:tc>
      </w:tr>
      <w:tr w14:paraId="66F654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3749565D">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42, 44层</w:t>
            </w:r>
          </w:p>
        </w:tc>
        <w:tc>
          <w:tcPr>
            <w:tcW w:w="2093" w:type="dxa"/>
            <w:tcBorders>
              <w:top w:val="nil"/>
              <w:left w:val="nil"/>
              <w:bottom w:val="single" w:color="000000" w:sz="8" w:space="0"/>
              <w:right w:val="single" w:color="000000" w:sz="8" w:space="0"/>
            </w:tcBorders>
            <w:noWrap/>
            <w:vAlign w:val="center"/>
          </w:tcPr>
          <w:p w14:paraId="1A0DDED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2853.27 </w:t>
            </w:r>
          </w:p>
        </w:tc>
        <w:tc>
          <w:tcPr>
            <w:tcW w:w="1947" w:type="dxa"/>
            <w:tcBorders>
              <w:top w:val="nil"/>
              <w:left w:val="nil"/>
              <w:bottom w:val="single" w:color="000000" w:sz="8" w:space="0"/>
              <w:right w:val="single" w:color="000000" w:sz="8" w:space="0"/>
            </w:tcBorders>
            <w:noWrap/>
            <w:vAlign w:val="bottom"/>
          </w:tcPr>
          <w:p w14:paraId="5EF810C0">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2075.22 </w:t>
            </w:r>
          </w:p>
        </w:tc>
        <w:tc>
          <w:tcPr>
            <w:tcW w:w="1904" w:type="dxa"/>
            <w:tcBorders>
              <w:top w:val="nil"/>
              <w:left w:val="nil"/>
              <w:bottom w:val="single" w:color="000000" w:sz="8" w:space="0"/>
              <w:right w:val="single" w:color="000000" w:sz="8" w:space="0"/>
            </w:tcBorders>
            <w:noWrap/>
            <w:vAlign w:val="center"/>
          </w:tcPr>
          <w:p w14:paraId="7B466CC9">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4928.49 </w:t>
            </w:r>
          </w:p>
        </w:tc>
      </w:tr>
      <w:tr w14:paraId="66C40E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4AD7DD5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45层</w:t>
            </w:r>
          </w:p>
        </w:tc>
        <w:tc>
          <w:tcPr>
            <w:tcW w:w="2093" w:type="dxa"/>
            <w:tcBorders>
              <w:top w:val="nil"/>
              <w:left w:val="nil"/>
              <w:bottom w:val="single" w:color="000000" w:sz="8" w:space="0"/>
              <w:right w:val="single" w:color="000000" w:sz="8" w:space="0"/>
            </w:tcBorders>
            <w:noWrap/>
            <w:vAlign w:val="center"/>
          </w:tcPr>
          <w:p w14:paraId="2E0F97EF">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1428.90 </w:t>
            </w:r>
          </w:p>
        </w:tc>
        <w:tc>
          <w:tcPr>
            <w:tcW w:w="1947" w:type="dxa"/>
            <w:tcBorders>
              <w:top w:val="nil"/>
              <w:left w:val="nil"/>
              <w:bottom w:val="single" w:color="000000" w:sz="8" w:space="0"/>
              <w:right w:val="single" w:color="000000" w:sz="8" w:space="0"/>
            </w:tcBorders>
            <w:noWrap/>
            <w:vAlign w:val="bottom"/>
          </w:tcPr>
          <w:p w14:paraId="4E811B55">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1035.72 </w:t>
            </w:r>
          </w:p>
        </w:tc>
        <w:tc>
          <w:tcPr>
            <w:tcW w:w="1904" w:type="dxa"/>
            <w:tcBorders>
              <w:top w:val="nil"/>
              <w:left w:val="nil"/>
              <w:bottom w:val="single" w:color="000000" w:sz="8" w:space="0"/>
              <w:right w:val="single" w:color="000000" w:sz="8" w:space="0"/>
            </w:tcBorders>
            <w:noWrap/>
            <w:vAlign w:val="center"/>
          </w:tcPr>
          <w:p w14:paraId="3AF4D698">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2464.62 </w:t>
            </w:r>
          </w:p>
        </w:tc>
      </w:tr>
      <w:tr w14:paraId="608D8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2374" w:type="dxa"/>
            <w:tcBorders>
              <w:top w:val="nil"/>
              <w:left w:val="single" w:color="000000" w:sz="8" w:space="0"/>
              <w:bottom w:val="single" w:color="000000" w:sz="8" w:space="0"/>
              <w:right w:val="single" w:color="000000" w:sz="8" w:space="0"/>
            </w:tcBorders>
            <w:noWrap/>
            <w:vAlign w:val="center"/>
          </w:tcPr>
          <w:p w14:paraId="2D7637B6">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47～53层</w:t>
            </w:r>
          </w:p>
        </w:tc>
        <w:tc>
          <w:tcPr>
            <w:tcW w:w="2093" w:type="dxa"/>
            <w:tcBorders>
              <w:top w:val="nil"/>
              <w:left w:val="nil"/>
              <w:bottom w:val="single" w:color="000000" w:sz="8" w:space="0"/>
              <w:right w:val="single" w:color="000000" w:sz="8" w:space="0"/>
            </w:tcBorders>
            <w:noWrap/>
            <w:vAlign w:val="center"/>
          </w:tcPr>
          <w:p w14:paraId="40A7432C">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10028.22 </w:t>
            </w:r>
          </w:p>
        </w:tc>
        <w:tc>
          <w:tcPr>
            <w:tcW w:w="1947" w:type="dxa"/>
            <w:tcBorders>
              <w:top w:val="nil"/>
              <w:left w:val="nil"/>
              <w:bottom w:val="single" w:color="000000" w:sz="8" w:space="0"/>
              <w:right w:val="single" w:color="000000" w:sz="8" w:space="0"/>
            </w:tcBorders>
            <w:noWrap/>
            <w:vAlign w:val="bottom"/>
          </w:tcPr>
          <w:p w14:paraId="2ADC3C56">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7706.61 </w:t>
            </w:r>
          </w:p>
        </w:tc>
        <w:tc>
          <w:tcPr>
            <w:tcW w:w="1904" w:type="dxa"/>
            <w:tcBorders>
              <w:top w:val="nil"/>
              <w:left w:val="nil"/>
              <w:bottom w:val="single" w:color="000000" w:sz="8" w:space="0"/>
              <w:right w:val="single" w:color="000000" w:sz="8" w:space="0"/>
            </w:tcBorders>
            <w:noWrap/>
            <w:vAlign w:val="center"/>
          </w:tcPr>
          <w:p w14:paraId="2832C051">
            <w:pPr>
              <w:keepNext w:val="0"/>
              <w:keepLines w:val="0"/>
              <w:widowControl/>
              <w:suppressLineNumbers w:val="0"/>
              <w:jc w:val="center"/>
              <w:textAlignment w:val="center"/>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17734.83 </w:t>
            </w:r>
          </w:p>
        </w:tc>
      </w:tr>
      <w:tr w14:paraId="786740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2" w:hRule="atLeast"/>
        </w:trPr>
        <w:tc>
          <w:tcPr>
            <w:tcW w:w="6414" w:type="dxa"/>
            <w:gridSpan w:val="3"/>
            <w:tcBorders>
              <w:top w:val="nil"/>
              <w:left w:val="single" w:color="000000" w:sz="8" w:space="0"/>
              <w:bottom w:val="single" w:color="000000" w:sz="8" w:space="0"/>
              <w:right w:val="single" w:color="000000" w:sz="8" w:space="0"/>
            </w:tcBorders>
            <w:noWrap/>
            <w:vAlign w:val="bottom"/>
          </w:tcPr>
          <w:p w14:paraId="5B560A28">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可出租办公总面积㎡（不含避难层）</w:t>
            </w:r>
          </w:p>
        </w:tc>
        <w:tc>
          <w:tcPr>
            <w:tcW w:w="1904" w:type="dxa"/>
            <w:tcBorders>
              <w:top w:val="nil"/>
              <w:left w:val="nil"/>
              <w:bottom w:val="single" w:color="000000" w:sz="8" w:space="0"/>
              <w:right w:val="single" w:color="000000" w:sz="8" w:space="0"/>
            </w:tcBorders>
            <w:noWrap/>
            <w:vAlign w:val="bottom"/>
          </w:tcPr>
          <w:p w14:paraId="683E18E6">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104003.64 </w:t>
            </w:r>
          </w:p>
        </w:tc>
      </w:tr>
      <w:tr w14:paraId="7CFBD8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trPr>
        <w:tc>
          <w:tcPr>
            <w:tcW w:w="6414" w:type="dxa"/>
            <w:gridSpan w:val="3"/>
            <w:tcBorders>
              <w:top w:val="nil"/>
              <w:left w:val="single" w:color="000000" w:sz="8" w:space="0"/>
              <w:bottom w:val="single" w:color="000000" w:sz="8" w:space="0"/>
              <w:right w:val="single" w:color="000000" w:sz="8" w:space="0"/>
            </w:tcBorders>
            <w:noWrap/>
            <w:vAlign w:val="bottom"/>
          </w:tcPr>
          <w:p w14:paraId="07C37D14">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甲方自留租赁办公面积㎡（比例20%）</w:t>
            </w:r>
          </w:p>
        </w:tc>
        <w:tc>
          <w:tcPr>
            <w:tcW w:w="1904" w:type="dxa"/>
            <w:tcBorders>
              <w:top w:val="nil"/>
              <w:left w:val="nil"/>
              <w:bottom w:val="single" w:color="000000" w:sz="8" w:space="0"/>
              <w:right w:val="single" w:color="000000" w:sz="8" w:space="0"/>
            </w:tcBorders>
            <w:noWrap/>
            <w:vAlign w:val="bottom"/>
          </w:tcPr>
          <w:p w14:paraId="63244575">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20800.73 </w:t>
            </w:r>
          </w:p>
        </w:tc>
      </w:tr>
      <w:tr w14:paraId="733E3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6414" w:type="dxa"/>
            <w:gridSpan w:val="3"/>
            <w:tcBorders>
              <w:top w:val="nil"/>
              <w:left w:val="single" w:color="000000" w:sz="8" w:space="0"/>
              <w:bottom w:val="single" w:color="000000" w:sz="8" w:space="0"/>
              <w:right w:val="single" w:color="000000" w:sz="8" w:space="0"/>
            </w:tcBorders>
            <w:noWrap/>
            <w:vAlign w:val="bottom"/>
          </w:tcPr>
          <w:p w14:paraId="61A988C2">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授权代理办公租赁面积㎡（比例80%）</w:t>
            </w:r>
          </w:p>
        </w:tc>
        <w:tc>
          <w:tcPr>
            <w:tcW w:w="1904" w:type="dxa"/>
            <w:tcBorders>
              <w:top w:val="nil"/>
              <w:left w:val="nil"/>
              <w:bottom w:val="single" w:color="000000" w:sz="8" w:space="0"/>
              <w:right w:val="single" w:color="000000" w:sz="8" w:space="0"/>
            </w:tcBorders>
            <w:noWrap/>
            <w:vAlign w:val="bottom"/>
          </w:tcPr>
          <w:p w14:paraId="1D4F19E1">
            <w:pPr>
              <w:keepNext w:val="0"/>
              <w:keepLines w:val="0"/>
              <w:widowControl/>
              <w:suppressLineNumbers w:val="0"/>
              <w:jc w:val="center"/>
              <w:textAlignment w:val="bottom"/>
              <w:rPr>
                <w:rFonts w:hint="eastAsia" w:ascii="宋体" w:hAnsi="宋体" w:eastAsia="宋体" w:cs="宋体"/>
                <w:i w:val="0"/>
                <w:iCs w:val="0"/>
                <w:color w:val="auto"/>
                <w:sz w:val="18"/>
                <w:szCs w:val="18"/>
                <w:highlight w:val="none"/>
                <w:u w:val="none"/>
              </w:rPr>
            </w:pPr>
            <w:r>
              <w:rPr>
                <w:rFonts w:hint="eastAsia" w:ascii="宋体" w:hAnsi="宋体" w:eastAsia="宋体" w:cs="宋体"/>
                <w:i w:val="0"/>
                <w:iCs w:val="0"/>
                <w:color w:val="auto"/>
                <w:kern w:val="0"/>
                <w:sz w:val="18"/>
                <w:szCs w:val="18"/>
                <w:highlight w:val="none"/>
                <w:u w:val="none"/>
                <w:lang w:val="en-US" w:eastAsia="zh-CN" w:bidi="ar"/>
              </w:rPr>
              <w:t xml:space="preserve">83202.91 </w:t>
            </w:r>
          </w:p>
        </w:tc>
      </w:tr>
    </w:tbl>
    <w:p w14:paraId="07A18D84">
      <w:pPr>
        <w:spacing w:line="360" w:lineRule="auto"/>
        <w:ind w:firstLine="0" w:firstLineChars="0"/>
        <w:jc w:val="both"/>
        <w:rPr>
          <w:rFonts w:hint="eastAsia" w:ascii="宋体" w:hAnsi="宋体" w:eastAsia="宋体"/>
          <w:color w:val="auto"/>
          <w:highlight w:val="none"/>
        </w:rPr>
      </w:pPr>
    </w:p>
    <w:p w14:paraId="2D85B714">
      <w:pPr>
        <w:jc w:val="both"/>
        <w:rPr>
          <w:rFonts w:hint="eastAsia" w:ascii="宋体" w:hAnsi="宋体" w:eastAsia="宋体"/>
          <w:b/>
          <w:color w:val="auto"/>
          <w:highlight w:val="none"/>
        </w:rPr>
      </w:pPr>
      <w:r>
        <w:rPr>
          <w:rFonts w:hint="eastAsia" w:ascii="宋体" w:hAnsi="宋体" w:eastAsia="宋体"/>
          <w:b/>
          <w:color w:val="auto"/>
          <w:highlight w:val="none"/>
        </w:rPr>
        <w:t>二、首席代理服务期限</w:t>
      </w:r>
    </w:p>
    <w:p w14:paraId="1F34F1C8">
      <w:pPr>
        <w:spacing w:line="360" w:lineRule="auto"/>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自正式首席代理服务合同签署起至项目</w:t>
      </w:r>
      <w:r>
        <w:rPr>
          <w:rFonts w:hint="eastAsia" w:ascii="宋体" w:hAnsi="宋体" w:eastAsia="宋体"/>
          <w:color w:val="auto"/>
          <w:highlight w:val="none"/>
          <w:lang w:val="en-US" w:eastAsia="zh-CN"/>
        </w:rPr>
        <w:t>竣工</w:t>
      </w:r>
      <w:r>
        <w:rPr>
          <w:rFonts w:hint="eastAsia" w:ascii="宋体" w:hAnsi="宋体" w:eastAsia="宋体"/>
          <w:color w:val="auto"/>
          <w:highlight w:val="none"/>
        </w:rPr>
        <w:t>正式交付后1年。</w:t>
      </w:r>
    </w:p>
    <w:p w14:paraId="704DED46">
      <w:pPr>
        <w:jc w:val="both"/>
        <w:rPr>
          <w:rFonts w:hint="eastAsia" w:ascii="宋体" w:hAnsi="宋体" w:eastAsia="宋体"/>
          <w:b/>
          <w:color w:val="auto"/>
          <w:highlight w:val="none"/>
        </w:rPr>
      </w:pPr>
      <w:bookmarkStart w:id="501" w:name="OLE_LINK8"/>
      <w:r>
        <w:rPr>
          <w:rFonts w:hint="eastAsia" w:ascii="宋体" w:hAnsi="宋体" w:eastAsia="宋体"/>
          <w:b/>
          <w:color w:val="auto"/>
          <w:highlight w:val="none"/>
        </w:rPr>
        <w:t>三、首席代理服务需求</w:t>
      </w:r>
    </w:p>
    <w:bookmarkEnd w:id="501"/>
    <w:p w14:paraId="67E9166A">
      <w:pPr>
        <w:jc w:val="both"/>
        <w:rPr>
          <w:rFonts w:hint="eastAsia" w:ascii="宋体" w:hAnsi="宋体" w:eastAsia="宋体"/>
          <w:b/>
          <w:color w:val="auto"/>
          <w:highlight w:val="none"/>
        </w:rPr>
      </w:pPr>
      <w:bookmarkStart w:id="502" w:name="OLE_LINK4"/>
      <w:bookmarkStart w:id="503" w:name="_Hlk208320323"/>
      <w:r>
        <w:rPr>
          <w:rFonts w:hint="eastAsia" w:ascii="宋体" w:hAnsi="宋体" w:eastAsia="宋体"/>
          <w:b/>
          <w:color w:val="auto"/>
          <w:highlight w:val="none"/>
        </w:rPr>
        <w:t>（一）制定整体招商策划方案</w:t>
      </w:r>
    </w:p>
    <w:bookmarkEnd w:id="502"/>
    <w:p w14:paraId="0FC6B710">
      <w:pPr>
        <w:ind w:firstLine="420" w:firstLineChars="200"/>
        <w:jc w:val="both"/>
        <w:rPr>
          <w:rFonts w:hint="eastAsia" w:ascii="宋体" w:hAnsi="宋体" w:eastAsia="宋体"/>
          <w:color w:val="auto"/>
          <w:highlight w:val="none"/>
        </w:rPr>
      </w:pPr>
      <w:bookmarkStart w:id="504" w:name="OLE_LINK5"/>
      <w:r>
        <w:rPr>
          <w:rFonts w:hint="eastAsia" w:ascii="宋体" w:hAnsi="宋体" w:eastAsia="宋体"/>
          <w:color w:val="auto"/>
          <w:highlight w:val="none"/>
        </w:rPr>
        <w:t>1.整体招商策略（包括：宏观市场分析、项目定位优化建议、市场切入时机、招商中心和样板间设计规划建议、营销推广建议、目标租户分析、招商思路及进度计划、推货节奏</w:t>
      </w:r>
      <w:r>
        <w:rPr>
          <w:rFonts w:hint="eastAsia" w:ascii="宋体" w:hAnsi="宋体" w:eastAsia="宋体" w:cs="宋体"/>
          <w:color w:val="auto"/>
          <w:kern w:val="0"/>
          <w:szCs w:val="21"/>
          <w:highlight w:val="none"/>
          <w:lang w:eastAsia="zh-CN"/>
        </w:rPr>
        <w:t>、</w:t>
      </w:r>
      <w:r>
        <w:rPr>
          <w:rFonts w:hint="eastAsia" w:ascii="宋体" w:hAnsi="宋体" w:eastAsia="宋体" w:cs="Times New Roman"/>
          <w:color w:val="auto"/>
          <w:kern w:val="2"/>
          <w:szCs w:val="22"/>
          <w:highlight w:val="none"/>
        </w:rPr>
        <w:t>优质客户及招商进度统筹激励</w:t>
      </w:r>
      <w:r>
        <w:rPr>
          <w:rFonts w:hint="eastAsia" w:ascii="宋体" w:hAnsi="宋体" w:eastAsia="宋体" w:cs="Times New Roman"/>
          <w:color w:val="auto"/>
          <w:kern w:val="2"/>
          <w:szCs w:val="22"/>
          <w:highlight w:val="none"/>
          <w:lang w:val="en-US" w:eastAsia="zh-CN"/>
        </w:rPr>
        <w:t>机制</w:t>
      </w:r>
      <w:r>
        <w:rPr>
          <w:rFonts w:hint="eastAsia" w:ascii="宋体" w:hAnsi="宋体" w:eastAsia="宋体"/>
          <w:color w:val="auto"/>
          <w:highlight w:val="none"/>
        </w:rPr>
        <w:t>等）。</w:t>
      </w:r>
    </w:p>
    <w:bookmarkEnd w:id="504"/>
    <w:p w14:paraId="28547067">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2.制定租赁价格策略，包括：</w:t>
      </w:r>
    </w:p>
    <w:p w14:paraId="164D3CBD">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（1）通过详细且科学的宏观、微观论证，提交项目平均租赁价格建议；</w:t>
      </w:r>
    </w:p>
    <w:p w14:paraId="0B348FDA">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（2）建立价格体系模型，根据业态、楼层、设计、景观、朝向等因素提出详细价格建议；</w:t>
      </w:r>
    </w:p>
    <w:p w14:paraId="785938E9">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（3）提出在预推、正式推出及交付等不同时期的租赁报价及底价建议，并提出相关的执行措施；</w:t>
      </w:r>
    </w:p>
    <w:p w14:paraId="30A83570">
      <w:pPr>
        <w:ind w:firstLine="420" w:firstLineChars="200"/>
        <w:jc w:val="both"/>
        <w:rPr>
          <w:rFonts w:hint="eastAsia" w:ascii="宋体" w:hAnsi="宋体" w:eastAsia="宋体"/>
          <w:color w:val="auto"/>
          <w:highlight w:val="none"/>
        </w:rPr>
      </w:pPr>
      <w:bookmarkStart w:id="505" w:name="OLE_LINK2"/>
      <w:r>
        <w:rPr>
          <w:rFonts w:hint="eastAsia" w:ascii="宋体" w:hAnsi="宋体" w:eastAsia="宋体"/>
          <w:color w:val="auto"/>
          <w:highlight w:val="none"/>
        </w:rPr>
        <w:t>（4）提交不同时期的租赁期限及免租期建议；</w:t>
      </w:r>
    </w:p>
    <w:p w14:paraId="1281E46A">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（5）结合市场和项目预测不同阶段的租赁价格；</w:t>
      </w:r>
    </w:p>
    <w:bookmarkEnd w:id="505"/>
    <w:p w14:paraId="42521BF5">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（6）招商代理佣金、中介渠道费、驻场服务费、专项奖励等建议。</w:t>
      </w:r>
    </w:p>
    <w:p w14:paraId="7C18C999">
      <w:pPr>
        <w:ind w:firstLine="420" w:firstLineChars="200"/>
        <w:jc w:val="both"/>
        <w:rPr>
          <w:rFonts w:hint="eastAsia" w:ascii="宋体" w:hAnsi="宋体" w:eastAsia="宋体"/>
          <w:color w:val="auto"/>
          <w:highlight w:val="none"/>
        </w:rPr>
      </w:pPr>
      <w:bookmarkStart w:id="506" w:name="OLE_LINK1"/>
      <w:r>
        <w:rPr>
          <w:rFonts w:hint="eastAsia" w:ascii="宋体" w:hAnsi="宋体" w:eastAsia="宋体"/>
          <w:color w:val="auto"/>
          <w:highlight w:val="none"/>
        </w:rPr>
        <w:t>3.产品优化和服务建议，包括：</w:t>
      </w:r>
    </w:p>
    <w:bookmarkEnd w:id="506"/>
    <w:p w14:paraId="719FDC1B">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（1）写字楼建筑与租户装修优化建议（空间布局建议，根据租户对公共部分及室内的实际需求提出个性化的装修建议、配套设施建议、户型大小及主力户型建议、设备配置建议等）；</w:t>
      </w:r>
    </w:p>
    <w:p w14:paraId="4551EBC7">
      <w:pPr>
        <w:ind w:firstLine="420" w:firstLineChars="200"/>
        <w:jc w:val="both"/>
        <w:rPr>
          <w:rFonts w:hint="eastAsia" w:ascii="宋体" w:hAnsi="宋体" w:eastAsia="宋体"/>
          <w:color w:val="auto"/>
          <w:highlight w:val="none"/>
        </w:rPr>
      </w:pPr>
      <w:bookmarkStart w:id="507" w:name="OLE_LINK3"/>
      <w:r>
        <w:rPr>
          <w:rFonts w:hint="eastAsia" w:ascii="宋体" w:hAnsi="宋体" w:eastAsia="宋体"/>
          <w:color w:val="auto"/>
          <w:highlight w:val="none"/>
        </w:rPr>
        <w:t>4.项目运营财务测算，包括：</w:t>
      </w:r>
    </w:p>
    <w:bookmarkEnd w:id="507"/>
    <w:p w14:paraId="277A8E29">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（1）全周期投资回报分析（包括不限于税前税后利润、净现值、IRR等财务指标测算）；</w:t>
      </w:r>
    </w:p>
    <w:p w14:paraId="78258168">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（2）五年运营期收支情况及现金流量分析</w:t>
      </w:r>
    </w:p>
    <w:p w14:paraId="49E6D9DF">
      <w:pPr>
        <w:jc w:val="both"/>
        <w:rPr>
          <w:rFonts w:hint="eastAsia" w:ascii="宋体" w:hAnsi="宋体" w:eastAsia="宋体"/>
          <w:b/>
          <w:color w:val="auto"/>
          <w:highlight w:val="none"/>
        </w:rPr>
      </w:pPr>
      <w:r>
        <w:rPr>
          <w:rFonts w:hint="eastAsia" w:ascii="宋体" w:hAnsi="宋体" w:eastAsia="宋体"/>
          <w:b/>
          <w:color w:val="auto"/>
          <w:highlight w:val="none"/>
        </w:rPr>
        <w:t>（二）招商筹备阶段的策划工作</w:t>
      </w:r>
    </w:p>
    <w:p w14:paraId="013BB975">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1.制定有效的品牌宣传整体策略及宣传物料</w:t>
      </w:r>
    </w:p>
    <w:p w14:paraId="0162B29F">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（1）提交并详细沟通项目定位内涵，配合广告公司进行品牌开解、方案意念和指导思想的整体设计；</w:t>
      </w:r>
    </w:p>
    <w:p w14:paraId="0B849311">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（2）制定有效的品牌宣传策略、市场推广计划、媒介计划、公关活动计划、整体炒作部署等；</w:t>
      </w:r>
    </w:p>
    <w:p w14:paraId="3C455430">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（3）结合项目定位，对招商中心和样板间设计与安装提出需求，协助设计单位制定招商中心与样板间的设计方案，并配合安装单位完成招商中心与样板间的安装布置；</w:t>
      </w:r>
    </w:p>
    <w:p w14:paraId="34043E6A">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4）统筹宣传物料的设计和制作，对制作的项目、风格、内容、形式、数量等提供策略建议，包括但不限于：项目宣传册（楼书）、概述宣传册（折页）、影视宣传片及广告片、模型制作、平面广告、网络广告、新媒体广告、VI标识、现场包装、展板、信纸信签信封、明信片、艺术纪念品、礼品、电子群发邮件、名片、多媒体演示PPT、用户装修指南、租赁手册等；</w:t>
      </w:r>
    </w:p>
    <w:p w14:paraId="0DBB0195">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 xml:space="preserve">2.协助业主方组建招商团队 </w:t>
      </w:r>
    </w:p>
    <w:p w14:paraId="2F688DFA">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（1）招商团队管理架构设计；</w:t>
      </w:r>
    </w:p>
    <w:p w14:paraId="67A91154">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（2）岗位职责制度制定；</w:t>
      </w:r>
    </w:p>
    <w:p w14:paraId="217A6857">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（3）接待中心管理制度制定；</w:t>
      </w:r>
    </w:p>
    <w:p w14:paraId="4861A0D6">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（4）协助业主方进行招商工作审批流程制定及规范（含招商接待、洽谈、签约及租金收缴等）；</w:t>
      </w:r>
    </w:p>
    <w:p w14:paraId="6A0948CF">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（5）招商团队的业务培训，包括：市场资讯、服务规范、针对不同类型客户的谈判策略及技巧等。</w:t>
      </w:r>
    </w:p>
    <w:p w14:paraId="7DAE5A2B">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3.提供租赁相关文件版本，配合业主方拟定租赁文件，包括但不限于：客户咨询登记表、客户确认书、佣金确认书、认租须知、租赁意向书、租赁合同、物业管理公约、用户手册、装修指南等。</w:t>
      </w:r>
    </w:p>
    <w:p w14:paraId="30CFC752">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4.根据项目定位及实际施工状况，提交招商接待中心、示范单元、参观通道的装修及包装建议方案，并负责统筹及落实。</w:t>
      </w:r>
    </w:p>
    <w:p w14:paraId="1586E24E">
      <w:pPr>
        <w:jc w:val="both"/>
        <w:rPr>
          <w:rFonts w:hint="eastAsia" w:ascii="宋体" w:hAnsi="宋体" w:eastAsia="宋体"/>
          <w:b/>
          <w:color w:val="auto"/>
          <w:highlight w:val="none"/>
        </w:rPr>
      </w:pPr>
      <w:r>
        <w:rPr>
          <w:rFonts w:hint="eastAsia" w:ascii="宋体" w:hAnsi="宋体" w:eastAsia="宋体"/>
          <w:b/>
          <w:color w:val="auto"/>
          <w:highlight w:val="none"/>
        </w:rPr>
        <w:t>（三）正式招商阶段的工作</w:t>
      </w:r>
    </w:p>
    <w:p w14:paraId="617D5942">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1.进行招商现场日常运营管理</w:t>
      </w:r>
    </w:p>
    <w:p w14:paraId="0C163CD3">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（1）现场来访商户的接待和项目介绍；</w:t>
      </w:r>
    </w:p>
    <w:p w14:paraId="1920FFF7">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（2）带看项目，详细介绍项目、环境、功能、前景；</w:t>
      </w:r>
    </w:p>
    <w:p w14:paraId="4438FD28">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（3）电话接听、跟踪和拜访；</w:t>
      </w:r>
    </w:p>
    <w:p w14:paraId="0CC91E39">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（4）协助业主方签订租赁合同；</w:t>
      </w:r>
    </w:p>
    <w:p w14:paraId="1B83FB50">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（5）协调处理与第三方代理、中介等业务关系。</w:t>
      </w:r>
    </w:p>
    <w:p w14:paraId="7382E4A6">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2.对招商工作执行进度把控，包括制定明确的工作清单、工作节点和完成效果等</w:t>
      </w:r>
    </w:p>
    <w:p w14:paraId="26CDE2E7">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3.适时调整招商策略</w:t>
      </w:r>
    </w:p>
    <w:p w14:paraId="0022572F">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w:t>
      </w:r>
      <w:bookmarkStart w:id="508" w:name="OLE_LINK23"/>
      <w:r>
        <w:rPr>
          <w:rFonts w:hint="eastAsia" w:ascii="宋体" w:hAnsi="宋体" w:eastAsia="宋体"/>
          <w:color w:val="auto"/>
          <w:highlight w:val="none"/>
        </w:rPr>
        <w:t>提供招商例行工作报告，反馈市场信息及竞争对手信息（</w:t>
      </w:r>
      <w:bookmarkStart w:id="509" w:name="OLE_LINK9"/>
      <w:r>
        <w:rPr>
          <w:rFonts w:hint="eastAsia" w:ascii="宋体" w:hAnsi="宋体" w:eastAsia="宋体"/>
          <w:color w:val="auto"/>
          <w:highlight w:val="none"/>
        </w:rPr>
        <w:t>每周提供招商例行工作报告、每月或每季提交市场分析报告</w:t>
      </w:r>
      <w:bookmarkEnd w:id="509"/>
      <w:r>
        <w:rPr>
          <w:rFonts w:hint="eastAsia" w:ascii="宋体" w:hAnsi="宋体" w:eastAsia="宋体"/>
          <w:color w:val="auto"/>
          <w:highlight w:val="none"/>
        </w:rPr>
        <w:t>，逢每季度末和年末，应有对整个季度和年度的总结分析）</w:t>
      </w:r>
      <w:bookmarkEnd w:id="508"/>
      <w:r>
        <w:rPr>
          <w:rFonts w:hint="eastAsia" w:ascii="宋体" w:hAnsi="宋体" w:eastAsia="宋体"/>
          <w:color w:val="auto"/>
          <w:highlight w:val="none"/>
        </w:rPr>
        <w:t>；</w:t>
      </w:r>
    </w:p>
    <w:p w14:paraId="4D430C1D">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（2）按市场需要调整招商、推广策略，根据招商周期需要制定年度周期性宣传推广方案及费用预算（提交年度租赁策划方案总结及下年方案计划）；</w:t>
      </w:r>
    </w:p>
    <w:p w14:paraId="7334C105">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4.服务期内常规工作</w:t>
      </w:r>
    </w:p>
    <w:p w14:paraId="11B03F29">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（1）阶段性会议（周、月、季度例会及其他临时紧急会议）；</w:t>
      </w:r>
    </w:p>
    <w:p w14:paraId="5228C0C4">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（2）每月提交项目周边市场租金更新情况；</w:t>
      </w:r>
    </w:p>
    <w:p w14:paraId="19AF11EB">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（3）每月对项目主要竞争对手及新竞争对手进行及时调查，包括竞争对手招商动态、招商与推广策略进行跟踪分析并形成完整报告，针对本项目及时提出相应建议；</w:t>
      </w:r>
    </w:p>
    <w:p w14:paraId="05D6D711">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（4）提供各阶段招商工作的总结报告；</w:t>
      </w:r>
    </w:p>
    <w:p w14:paraId="368EE671">
      <w:pPr>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（5）其他协助性工作。</w:t>
      </w:r>
      <w:bookmarkEnd w:id="503"/>
    </w:p>
    <w:p w14:paraId="3CF5133F">
      <w:pPr>
        <w:jc w:val="both"/>
        <w:rPr>
          <w:rFonts w:hint="eastAsia"/>
          <w:color w:val="auto"/>
          <w:highlight w:val="none"/>
        </w:rPr>
      </w:pPr>
    </w:p>
    <w:p w14:paraId="08DAAC7D">
      <w:pPr>
        <w:jc w:val="both"/>
        <w:rPr>
          <w:rFonts w:hint="eastAsia" w:ascii="宋体" w:hAnsi="宋体" w:eastAsia="宋体"/>
          <w:b/>
          <w:color w:val="auto"/>
          <w:highlight w:val="none"/>
        </w:rPr>
      </w:pPr>
      <w:bookmarkStart w:id="510" w:name="OLE_LINK16"/>
      <w:r>
        <w:rPr>
          <w:rFonts w:hint="eastAsia" w:ascii="宋体" w:hAnsi="宋体" w:eastAsia="宋体"/>
          <w:b/>
          <w:color w:val="auto"/>
          <w:highlight w:val="none"/>
        </w:rPr>
        <w:t>四、首席代理服务费率情况</w:t>
      </w:r>
    </w:p>
    <w:bookmarkEnd w:id="510"/>
    <w:p w14:paraId="5A54ADCB">
      <w:pPr>
        <w:pStyle w:val="57"/>
        <w:spacing w:before="30" w:line="360" w:lineRule="auto"/>
        <w:ind w:firstLine="440" w:firstLineChars="200"/>
        <w:jc w:val="both"/>
        <w:rPr>
          <w:rFonts w:hint="eastAsia" w:hAnsi="宋体" w:cs="Times New Roman"/>
          <w:color w:val="auto"/>
          <w:kern w:val="2"/>
          <w:sz w:val="22"/>
          <w:highlight w:val="none"/>
        </w:rPr>
      </w:pPr>
      <w:r>
        <w:rPr>
          <w:rFonts w:hint="eastAsia" w:hAnsi="宋体" w:cs="Times New Roman"/>
          <w:color w:val="auto"/>
          <w:kern w:val="2"/>
          <w:sz w:val="22"/>
          <w:highlight w:val="none"/>
        </w:rPr>
        <w:t>首席代理的费用由</w:t>
      </w:r>
      <w:r>
        <w:rPr>
          <w:rFonts w:hint="eastAsia" w:hAnsi="宋体" w:cs="Times New Roman"/>
          <w:b/>
          <w:bCs/>
          <w:color w:val="auto"/>
          <w:kern w:val="2"/>
          <w:sz w:val="22"/>
          <w:highlight w:val="none"/>
        </w:rPr>
        <w:t>：营销顾问费用</w:t>
      </w:r>
      <w:r>
        <w:rPr>
          <w:rFonts w:hint="eastAsia" w:hAnsi="宋体" w:cs="Times New Roman"/>
          <w:color w:val="auto"/>
          <w:kern w:val="2"/>
          <w:sz w:val="22"/>
          <w:highlight w:val="none"/>
        </w:rPr>
        <w:t>，以及</w:t>
      </w:r>
      <w:r>
        <w:rPr>
          <w:rFonts w:hint="eastAsia" w:hAnsi="宋体" w:cs="Times New Roman"/>
          <w:b/>
          <w:bCs/>
          <w:color w:val="auto"/>
          <w:kern w:val="2"/>
          <w:sz w:val="22"/>
          <w:highlight w:val="none"/>
        </w:rPr>
        <w:t>基</w:t>
      </w:r>
      <w:r>
        <w:rPr>
          <w:rFonts w:hint="eastAsia" w:hAnsi="宋体" w:cs="Times New Roman"/>
          <w:b/>
          <w:bCs/>
          <w:color w:val="auto"/>
          <w:kern w:val="2"/>
          <w:sz w:val="22"/>
          <w:highlight w:val="none"/>
          <w:lang w:val="en-US" w:eastAsia="zh-CN"/>
        </w:rPr>
        <w:t>础</w:t>
      </w:r>
      <w:r>
        <w:rPr>
          <w:rFonts w:hAnsi="宋体" w:cs="Times New Roman"/>
          <w:b/>
          <w:bCs/>
          <w:color w:val="auto"/>
          <w:kern w:val="2"/>
          <w:sz w:val="22"/>
          <w:highlight w:val="none"/>
        </w:rPr>
        <w:t>代理佣金、统筹管理佣金、</w:t>
      </w:r>
      <w:r>
        <w:rPr>
          <w:rFonts w:hint="eastAsia" w:hAnsi="宋体" w:cs="Times New Roman"/>
          <w:b/>
          <w:bCs/>
          <w:color w:val="auto"/>
          <w:kern w:val="2"/>
          <w:sz w:val="22"/>
          <w:highlight w:val="none"/>
        </w:rPr>
        <w:t>激励佣金</w:t>
      </w:r>
      <w:r>
        <w:rPr>
          <w:rFonts w:hint="eastAsia" w:hAnsi="宋体" w:cs="Times New Roman"/>
          <w:color w:val="auto"/>
          <w:kern w:val="2"/>
          <w:sz w:val="22"/>
          <w:highlight w:val="none"/>
        </w:rPr>
        <w:t>，共四部分组成，各部分佣金给付标准如下。</w:t>
      </w:r>
    </w:p>
    <w:p w14:paraId="630C3631">
      <w:pPr>
        <w:pStyle w:val="57"/>
        <w:numPr>
          <w:ilvl w:val="0"/>
          <w:numId w:val="17"/>
        </w:numPr>
        <w:spacing w:before="30" w:line="360" w:lineRule="auto"/>
        <w:jc w:val="both"/>
        <w:rPr>
          <w:rFonts w:hint="eastAsia" w:hAnsi="宋体" w:cs="Times New Roman"/>
          <w:b/>
          <w:bCs/>
          <w:color w:val="auto"/>
          <w:kern w:val="2"/>
          <w:sz w:val="22"/>
          <w:highlight w:val="none"/>
        </w:rPr>
      </w:pPr>
      <w:r>
        <w:rPr>
          <w:rFonts w:hint="eastAsia" w:hAnsi="宋体" w:cs="Times New Roman"/>
          <w:b/>
          <w:bCs/>
          <w:color w:val="auto"/>
          <w:kern w:val="2"/>
          <w:sz w:val="22"/>
          <w:highlight w:val="none"/>
        </w:rPr>
        <w:t>营销顾问费用：</w:t>
      </w:r>
    </w:p>
    <w:p w14:paraId="4D7B8862">
      <w:pPr>
        <w:pStyle w:val="57"/>
        <w:spacing w:before="30" w:line="360" w:lineRule="auto"/>
        <w:ind w:firstLine="440" w:firstLineChars="200"/>
        <w:jc w:val="both"/>
        <w:rPr>
          <w:rFonts w:hint="eastAsia" w:hAnsi="宋体" w:cs="Times New Roman"/>
          <w:color w:val="auto"/>
          <w:kern w:val="2"/>
          <w:sz w:val="22"/>
          <w:highlight w:val="none"/>
        </w:rPr>
      </w:pPr>
      <w:r>
        <w:rPr>
          <w:rFonts w:hint="eastAsia" w:hAnsi="宋体" w:cs="Times New Roman"/>
          <w:color w:val="auto"/>
          <w:kern w:val="2"/>
          <w:sz w:val="22"/>
          <w:highlight w:val="none"/>
        </w:rPr>
        <w:t>提供营销策划顾问服务，按每月</w:t>
      </w:r>
      <w:r>
        <w:rPr>
          <w:rFonts w:hint="eastAsia" w:hAnsi="宋体" w:cs="Times New Roman"/>
          <w:color w:val="auto"/>
          <w:kern w:val="2"/>
          <w:sz w:val="22"/>
          <w:highlight w:val="none"/>
          <w:lang w:val="en-US" w:eastAsia="zh-CN"/>
        </w:rPr>
        <w:t>固定综合单价计费</w:t>
      </w:r>
      <w:r>
        <w:rPr>
          <w:rFonts w:hint="eastAsia" w:hAnsi="宋体" w:cs="Times New Roman"/>
          <w:color w:val="auto"/>
          <w:kern w:val="2"/>
          <w:sz w:val="22"/>
          <w:highlight w:val="none"/>
        </w:rPr>
        <w:t>；</w:t>
      </w:r>
    </w:p>
    <w:p w14:paraId="2C2237C5">
      <w:pPr>
        <w:pStyle w:val="57"/>
        <w:numPr>
          <w:ilvl w:val="0"/>
          <w:numId w:val="17"/>
        </w:numPr>
        <w:spacing w:before="30" w:line="360" w:lineRule="auto"/>
        <w:jc w:val="both"/>
        <w:rPr>
          <w:rFonts w:hint="eastAsia" w:hAnsi="宋体" w:cs="Times New Roman"/>
          <w:b/>
          <w:bCs/>
          <w:color w:val="auto"/>
          <w:kern w:val="2"/>
          <w:sz w:val="22"/>
          <w:highlight w:val="none"/>
        </w:rPr>
      </w:pPr>
      <w:bookmarkStart w:id="511" w:name="OLE_LINK13"/>
      <w:r>
        <w:rPr>
          <w:rFonts w:hAnsi="宋体" w:cs="Times New Roman"/>
          <w:b/>
          <w:bCs/>
          <w:color w:val="auto"/>
          <w:kern w:val="2"/>
          <w:sz w:val="22"/>
          <w:highlight w:val="none"/>
        </w:rPr>
        <w:t>基</w:t>
      </w:r>
      <w:r>
        <w:rPr>
          <w:rFonts w:hint="eastAsia" w:hAnsi="宋体" w:cs="Times New Roman"/>
          <w:b/>
          <w:bCs/>
          <w:color w:val="auto"/>
          <w:kern w:val="2"/>
          <w:sz w:val="22"/>
          <w:highlight w:val="none"/>
          <w:lang w:val="en-US" w:eastAsia="zh-CN"/>
        </w:rPr>
        <w:t>础</w:t>
      </w:r>
      <w:r>
        <w:rPr>
          <w:rFonts w:hAnsi="宋体" w:cs="Times New Roman"/>
          <w:b/>
          <w:bCs/>
          <w:color w:val="auto"/>
          <w:kern w:val="2"/>
          <w:sz w:val="22"/>
          <w:highlight w:val="none"/>
        </w:rPr>
        <w:t>代理佣金：</w:t>
      </w:r>
    </w:p>
    <w:p w14:paraId="3AF36212">
      <w:pPr>
        <w:pStyle w:val="57"/>
        <w:spacing w:before="30" w:line="360" w:lineRule="auto"/>
        <w:ind w:firstLine="440" w:firstLineChars="200"/>
        <w:jc w:val="both"/>
        <w:rPr>
          <w:rFonts w:hint="eastAsia" w:hAnsi="宋体" w:cs="Times New Roman"/>
          <w:color w:val="auto"/>
          <w:kern w:val="2"/>
          <w:sz w:val="22"/>
          <w:highlight w:val="none"/>
        </w:rPr>
      </w:pPr>
      <w:r>
        <w:rPr>
          <w:rFonts w:hint="eastAsia" w:hAnsi="宋体" w:cs="Times New Roman"/>
          <w:color w:val="auto"/>
          <w:kern w:val="2"/>
          <w:sz w:val="22"/>
          <w:highlight w:val="none"/>
          <w:lang w:val="en-US" w:eastAsia="zh-CN"/>
        </w:rPr>
        <w:t>根据投标人的报价，按</w:t>
      </w:r>
      <w:r>
        <w:rPr>
          <w:rFonts w:hAnsi="宋体" w:cs="Times New Roman"/>
          <w:color w:val="auto"/>
          <w:kern w:val="2"/>
          <w:sz w:val="22"/>
          <w:highlight w:val="none"/>
        </w:rPr>
        <w:t>招标人与成交租户最终签署租赁合同中规定的</w:t>
      </w:r>
      <w:r>
        <w:rPr>
          <w:rFonts w:hAnsi="宋体" w:cs="Times New Roman"/>
          <w:b/>
          <w:bCs/>
          <w:color w:val="auto"/>
          <w:kern w:val="2"/>
          <w:sz w:val="22"/>
          <w:highlight w:val="none"/>
        </w:rPr>
        <w:t>首年首月租金的</w:t>
      </w:r>
      <w:bookmarkEnd w:id="511"/>
      <w:r>
        <w:rPr>
          <w:rFonts w:hint="eastAsia" w:hAnsi="宋体" w:cs="Times New Roman"/>
          <w:b/>
          <w:bCs/>
          <w:color w:val="auto"/>
          <w:kern w:val="2"/>
          <w:sz w:val="22"/>
          <w:highlight w:val="none"/>
          <w:lang w:val="en-US" w:eastAsia="zh-CN"/>
        </w:rPr>
        <w:t>一定费率计费</w:t>
      </w:r>
      <w:r>
        <w:rPr>
          <w:rFonts w:hint="eastAsia" w:hAnsi="宋体" w:cs="Times New Roman"/>
          <w:color w:val="auto"/>
          <w:kern w:val="2"/>
          <w:sz w:val="22"/>
          <w:highlight w:val="none"/>
        </w:rPr>
        <w:t>；</w:t>
      </w:r>
    </w:p>
    <w:p w14:paraId="4F2813ED">
      <w:pPr>
        <w:widowControl/>
        <w:tabs>
          <w:tab w:val="left" w:pos="743"/>
        </w:tabs>
        <w:spacing w:before="93" w:beforeLines="30" w:after="0" w:line="360" w:lineRule="auto"/>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 首席代理介绍成交租户：招标人与租户签署租赁合同并收取押金和租金后，招标人向首席代理支付基</w:t>
      </w:r>
      <w:r>
        <w:rPr>
          <w:rFonts w:hint="eastAsia" w:ascii="宋体" w:hAnsi="宋体" w:eastAsia="宋体"/>
          <w:color w:val="auto"/>
          <w:highlight w:val="none"/>
          <w:lang w:val="en-US" w:eastAsia="zh-CN"/>
        </w:rPr>
        <w:t>础</w:t>
      </w:r>
      <w:r>
        <w:rPr>
          <w:rFonts w:hint="eastAsia" w:ascii="宋体" w:hAnsi="宋体" w:eastAsia="宋体"/>
          <w:color w:val="auto"/>
          <w:highlight w:val="none"/>
        </w:rPr>
        <w:t>代理佣金；</w:t>
      </w:r>
    </w:p>
    <w:p w14:paraId="38992571">
      <w:pPr>
        <w:widowControl/>
        <w:tabs>
          <w:tab w:val="left" w:pos="743"/>
        </w:tabs>
        <w:spacing w:before="93" w:beforeLines="30" w:after="0" w:line="360" w:lineRule="auto"/>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2.一般代理公司介绍成交租户：招标人与租户签署租赁合同并收取押金和租金后，招标人向首席代理支付基</w:t>
      </w:r>
      <w:r>
        <w:rPr>
          <w:rFonts w:hint="eastAsia" w:ascii="宋体" w:hAnsi="宋体" w:eastAsia="宋体"/>
          <w:color w:val="auto"/>
          <w:highlight w:val="none"/>
          <w:lang w:val="en-US" w:eastAsia="zh-CN"/>
        </w:rPr>
        <w:t>础</w:t>
      </w:r>
      <w:r>
        <w:rPr>
          <w:rFonts w:hint="eastAsia" w:ascii="宋体" w:hAnsi="宋体" w:eastAsia="宋体"/>
          <w:color w:val="auto"/>
          <w:highlight w:val="none"/>
        </w:rPr>
        <w:t>代理佣金，再由首席代理将基</w:t>
      </w:r>
      <w:r>
        <w:rPr>
          <w:rFonts w:hint="eastAsia" w:ascii="宋体" w:hAnsi="宋体" w:eastAsia="宋体"/>
          <w:color w:val="auto"/>
          <w:highlight w:val="none"/>
          <w:lang w:val="en-US" w:eastAsia="zh-CN"/>
        </w:rPr>
        <w:t>础</w:t>
      </w:r>
      <w:r>
        <w:rPr>
          <w:rFonts w:hint="eastAsia" w:ascii="宋体" w:hAnsi="宋体" w:eastAsia="宋体"/>
          <w:color w:val="auto"/>
          <w:highlight w:val="none"/>
        </w:rPr>
        <w:t>代理佣金向一般代理公司足额（含增值税等税费）支付；</w:t>
      </w:r>
    </w:p>
    <w:p w14:paraId="6C164D7F">
      <w:pPr>
        <w:pStyle w:val="57"/>
        <w:numPr>
          <w:ilvl w:val="0"/>
          <w:numId w:val="17"/>
        </w:numPr>
        <w:spacing w:before="30" w:line="360" w:lineRule="auto"/>
        <w:jc w:val="both"/>
        <w:rPr>
          <w:rFonts w:hint="eastAsia" w:hAnsi="宋体" w:cs="Times New Roman"/>
          <w:b/>
          <w:bCs/>
          <w:color w:val="auto"/>
          <w:kern w:val="2"/>
          <w:sz w:val="22"/>
          <w:highlight w:val="none"/>
        </w:rPr>
      </w:pPr>
      <w:bookmarkStart w:id="512" w:name="OLE_LINK14"/>
      <w:r>
        <w:rPr>
          <w:rFonts w:hint="eastAsia" w:hAnsi="宋体" w:cs="Times New Roman"/>
          <w:b/>
          <w:bCs/>
          <w:color w:val="auto"/>
          <w:kern w:val="2"/>
          <w:sz w:val="22"/>
          <w:highlight w:val="none"/>
        </w:rPr>
        <w:t>统筹管理佣金金额</w:t>
      </w:r>
    </w:p>
    <w:bookmarkEnd w:id="512"/>
    <w:p w14:paraId="3B63F1DE">
      <w:pPr>
        <w:widowControl/>
        <w:tabs>
          <w:tab w:val="left" w:pos="743"/>
        </w:tabs>
        <w:spacing w:before="93" w:beforeLines="30" w:line="360" w:lineRule="auto"/>
        <w:ind w:firstLine="420" w:firstLineChars="200"/>
        <w:jc w:val="both"/>
        <w:rPr>
          <w:rFonts w:hint="eastAsia" w:ascii="宋体" w:hAnsi="宋体" w:eastAsia="宋体"/>
          <w:color w:val="auto"/>
          <w:highlight w:val="none"/>
        </w:rPr>
      </w:pPr>
      <w:r>
        <w:rPr>
          <w:rFonts w:hint="eastAsia" w:ascii="宋体" w:hAnsi="宋体" w:eastAsia="宋体"/>
          <w:color w:val="auto"/>
          <w:highlight w:val="none"/>
        </w:rPr>
        <w:t>1.基本统筹管理佣金：</w:t>
      </w:r>
      <w:r>
        <w:rPr>
          <w:rFonts w:hint="default" w:ascii="宋体" w:hAnsi="宋体" w:eastAsia="宋体" w:cs="Times New Roman"/>
          <w:color w:val="auto"/>
          <w:kern w:val="2"/>
          <w:sz w:val="21"/>
          <w:highlight w:val="none"/>
          <w:lang w:val="en-US" w:eastAsia="zh-CN"/>
        </w:rPr>
        <w:t>根据投标人的报价，</w:t>
      </w:r>
      <w:r>
        <w:rPr>
          <w:rFonts w:hint="default" w:ascii="宋体" w:hAnsi="宋体" w:eastAsia="宋体" w:cs="Times New Roman"/>
          <w:color w:val="auto"/>
          <w:highlight w:val="none"/>
          <w:lang w:val="en-US" w:eastAsia="zh-CN"/>
        </w:rPr>
        <w:t>按</w:t>
      </w:r>
      <w:r>
        <w:rPr>
          <w:rFonts w:hint="eastAsia" w:ascii="宋体" w:hAnsi="宋体" w:eastAsia="宋体"/>
          <w:color w:val="auto"/>
          <w:highlight w:val="none"/>
        </w:rPr>
        <w:t>一般代理公司等第三方推荐成交租户的，为</w:t>
      </w:r>
      <w:r>
        <w:rPr>
          <w:rFonts w:ascii="宋体" w:hAnsi="宋体" w:eastAsia="宋体"/>
          <w:color w:val="auto"/>
          <w:highlight w:val="none"/>
        </w:rPr>
        <w:t>招标人与成交租户最终签署的租赁合同中规定的首年首月租金</w:t>
      </w:r>
      <w:r>
        <w:rPr>
          <w:rFonts w:hint="eastAsia" w:ascii="宋体" w:hAnsi="宋体" w:eastAsia="宋体"/>
          <w:color w:val="auto"/>
          <w:highlight w:val="none"/>
          <w:lang w:val="en-US" w:eastAsia="zh-CN"/>
        </w:rPr>
        <w:t>的一定费率</w:t>
      </w:r>
      <w:r>
        <w:rPr>
          <w:rFonts w:hint="eastAsia" w:ascii="宋体" w:hAnsi="宋体" w:eastAsia="宋体"/>
          <w:color w:val="auto"/>
          <w:highlight w:val="none"/>
        </w:rPr>
        <w:t>计提给首席代理基本统筹管理佣金。</w:t>
      </w:r>
    </w:p>
    <w:p w14:paraId="723CB950">
      <w:pPr>
        <w:widowControl/>
        <w:tabs>
          <w:tab w:val="left" w:pos="743"/>
        </w:tabs>
        <w:spacing w:before="93" w:beforeLines="30" w:line="360" w:lineRule="auto"/>
        <w:ind w:left="0" w:firstLine="420" w:firstLineChars="200"/>
        <w:rPr>
          <w:rFonts w:hint="eastAsia" w:ascii="宋体" w:hAnsi="宋体" w:eastAsia="等线"/>
          <w:b/>
          <w:color w:val="auto"/>
          <w:szCs w:val="21"/>
          <w:highlight w:val="none"/>
          <w:lang w:eastAsia="zh-CN"/>
        </w:rPr>
      </w:pPr>
      <w:r>
        <w:rPr>
          <w:rFonts w:hint="eastAsia" w:ascii="宋体" w:hAnsi="宋体" w:eastAsia="宋体"/>
          <w:color w:val="auto"/>
          <w:highlight w:val="none"/>
        </w:rPr>
        <w:t>2.进度统筹管理佣金：</w:t>
      </w:r>
      <w:r>
        <w:rPr>
          <w:rFonts w:hint="eastAsia" w:ascii="宋体" w:hAnsi="宋体"/>
          <w:color w:val="auto"/>
          <w:szCs w:val="21"/>
          <w:highlight w:val="none"/>
        </w:rPr>
        <w:t>为按进度节点完成的出租率进行的奖励</w:t>
      </w: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由招标人和中标人双方在合同履行期间另行协商。</w:t>
      </w:r>
    </w:p>
    <w:p w14:paraId="0EEEFE3C">
      <w:pPr>
        <w:pStyle w:val="57"/>
        <w:numPr>
          <w:ilvl w:val="0"/>
          <w:numId w:val="17"/>
        </w:numPr>
        <w:spacing w:before="30" w:line="360" w:lineRule="auto"/>
        <w:jc w:val="both"/>
        <w:rPr>
          <w:rFonts w:hint="eastAsia" w:hAnsi="宋体" w:cs="Times New Roman"/>
          <w:b/>
          <w:bCs/>
          <w:color w:val="auto"/>
          <w:kern w:val="2"/>
          <w:sz w:val="22"/>
          <w:highlight w:val="none"/>
        </w:rPr>
      </w:pPr>
      <w:r>
        <w:rPr>
          <w:rFonts w:hint="eastAsia" w:hAnsi="宋体" w:cs="Times New Roman"/>
          <w:b/>
          <w:bCs/>
          <w:color w:val="auto"/>
          <w:kern w:val="2"/>
          <w:sz w:val="22"/>
          <w:highlight w:val="none"/>
        </w:rPr>
        <w:t>激励佣金</w:t>
      </w:r>
    </w:p>
    <w:p w14:paraId="51471E5A">
      <w:pPr>
        <w:widowControl/>
        <w:tabs>
          <w:tab w:val="left" w:pos="743"/>
        </w:tabs>
        <w:spacing w:before="93" w:beforeLines="30"/>
        <w:ind w:left="0" w:firstLine="420" w:firstLineChars="200"/>
        <w:rPr>
          <w:rFonts w:hint="eastAsia" w:ascii="宋体" w:hAnsi="宋体" w:eastAsia="宋体" w:cs="Times New Roman"/>
          <w:color w:val="auto"/>
          <w:szCs w:val="22"/>
          <w:highlight w:val="none"/>
          <w:lang w:val="en-US" w:eastAsia="zh-CN"/>
        </w:rPr>
      </w:pPr>
      <w:r>
        <w:rPr>
          <w:rFonts w:hint="eastAsia" w:ascii="宋体" w:hAnsi="宋体" w:eastAsia="宋体" w:cs="Times New Roman"/>
          <w:b w:val="0"/>
          <w:bCs w:val="0"/>
          <w:color w:val="auto"/>
          <w:szCs w:val="22"/>
          <w:highlight w:val="none"/>
          <w:lang w:val="en-US" w:eastAsia="zh-CN"/>
        </w:rPr>
        <w:t>为优质客户激励佣金，</w:t>
      </w:r>
      <w:r>
        <w:rPr>
          <w:rFonts w:hint="eastAsia" w:ascii="宋体" w:hAnsi="宋体" w:eastAsia="宋体" w:cs="Times New Roman"/>
          <w:color w:val="auto"/>
          <w:szCs w:val="22"/>
          <w:highlight w:val="none"/>
          <w:lang w:val="en-US" w:eastAsia="zh-CN"/>
        </w:rPr>
        <w:t>由</w:t>
      </w:r>
      <w:r>
        <w:rPr>
          <w:rFonts w:hint="eastAsia" w:ascii="宋体" w:hAnsi="宋体"/>
          <w:color w:val="auto"/>
          <w:szCs w:val="21"/>
          <w:highlight w:val="none"/>
          <w:lang w:val="en-US" w:eastAsia="zh-CN"/>
        </w:rPr>
        <w:t>招标人和中标人</w:t>
      </w:r>
      <w:r>
        <w:rPr>
          <w:rFonts w:hint="eastAsia" w:ascii="宋体" w:hAnsi="宋体" w:eastAsia="宋体" w:cs="Times New Roman"/>
          <w:color w:val="auto"/>
          <w:szCs w:val="22"/>
          <w:highlight w:val="none"/>
          <w:lang w:val="en-US" w:eastAsia="zh-CN"/>
        </w:rPr>
        <w:t>双方在合同履行期间另行协商。</w:t>
      </w:r>
    </w:p>
    <w:p w14:paraId="68D66D25">
      <w:pPr>
        <w:jc w:val="both"/>
        <w:rPr>
          <w:rFonts w:hint="default" w:ascii="宋体" w:hAnsi="宋体" w:eastAsia="宋体"/>
          <w:b/>
          <w:color w:val="auto"/>
          <w:highlight w:val="none"/>
          <w:lang w:val="en-US" w:eastAsia="zh-CN"/>
        </w:rPr>
      </w:pPr>
      <w:r>
        <w:rPr>
          <w:rFonts w:hint="eastAsia" w:ascii="宋体" w:hAnsi="宋体" w:eastAsia="宋体"/>
          <w:b/>
          <w:color w:val="auto"/>
          <w:highlight w:val="none"/>
          <w:lang w:val="en-US" w:eastAsia="zh-CN"/>
        </w:rPr>
        <w:t>五</w:t>
      </w:r>
      <w:r>
        <w:rPr>
          <w:rFonts w:hint="eastAsia" w:ascii="宋体" w:hAnsi="宋体" w:eastAsia="宋体"/>
          <w:b/>
          <w:color w:val="auto"/>
          <w:highlight w:val="none"/>
        </w:rPr>
        <w:t>、</w:t>
      </w:r>
      <w:r>
        <w:rPr>
          <w:rFonts w:hint="eastAsia" w:ascii="宋体" w:hAnsi="宋体" w:eastAsia="宋体"/>
          <w:b/>
          <w:color w:val="auto"/>
          <w:highlight w:val="none"/>
          <w:lang w:val="en-US" w:eastAsia="zh-CN"/>
        </w:rPr>
        <w:t>驻场人员要求</w:t>
      </w:r>
    </w:p>
    <w:p w14:paraId="33147742">
      <w:pPr>
        <w:widowControl/>
        <w:tabs>
          <w:tab w:val="left" w:pos="743"/>
        </w:tabs>
        <w:spacing w:before="93" w:beforeLines="30"/>
        <w:ind w:left="0" w:firstLine="420" w:firstLineChars="200"/>
        <w:rPr>
          <w:rFonts w:hint="default" w:ascii="宋体" w:hAnsi="宋体" w:eastAsia="宋体" w:cs="Times New Roman"/>
          <w:b w:val="0"/>
          <w:bCs w:val="0"/>
          <w:color w:val="auto"/>
          <w:kern w:val="2"/>
          <w:sz w:val="21"/>
          <w:highlight w:val="none"/>
        </w:rPr>
      </w:pPr>
      <w:r>
        <w:rPr>
          <w:rFonts w:hint="eastAsia" w:ascii="宋体" w:hAnsi="宋体" w:eastAsia="宋体" w:cs="Times New Roman"/>
          <w:b w:val="0"/>
          <w:bCs w:val="0"/>
          <w:color w:val="auto"/>
          <w:kern w:val="2"/>
          <w:sz w:val="21"/>
          <w:highlight w:val="none"/>
          <w:lang w:val="en-US" w:eastAsia="zh-CN"/>
        </w:rPr>
        <w:t>投标人须委派不少于3人且满足招标人要求的人员提供驻场服务。</w:t>
      </w:r>
    </w:p>
    <w:p w14:paraId="64D705E5">
      <w:pPr>
        <w:pStyle w:val="2"/>
        <w:rPr>
          <w:color w:val="auto"/>
          <w:highlight w:val="none"/>
        </w:rPr>
      </w:pPr>
      <w:bookmarkStart w:id="513" w:name="_Toc32562"/>
      <w:bookmarkStart w:id="514" w:name="_Toc138236394"/>
      <w:r>
        <w:rPr>
          <w:rFonts w:hint="eastAsia"/>
          <w:color w:val="auto"/>
          <w:highlight w:val="none"/>
        </w:rPr>
        <w:t>第六章 投标文件格式</w:t>
      </w:r>
      <w:bookmarkEnd w:id="513"/>
      <w:bookmarkEnd w:id="514"/>
    </w:p>
    <w:p w14:paraId="7BB144D8">
      <w:pPr>
        <w:spacing w:line="400" w:lineRule="exact"/>
        <w:rPr>
          <w:rFonts w:ascii="宋体" w:hAnsi="宋体" w:eastAsia="宋体"/>
          <w:color w:val="auto"/>
          <w:highlight w:val="none"/>
        </w:rPr>
      </w:pPr>
      <w:r>
        <w:rPr>
          <w:rFonts w:ascii="宋体" w:hAnsi="宋体" w:eastAsia="宋体"/>
          <w:color w:val="auto"/>
          <w:highlight w:val="none"/>
        </w:rPr>
        <w:br w:type="page"/>
      </w:r>
      <w:r>
        <w:rPr>
          <w:rFonts w:ascii="宋体" w:hAnsi="宋体" w:eastAsia="宋体"/>
          <w:color w:val="auto"/>
          <w:highlight w:val="none"/>
        </w:rPr>
        <w:t>封面</w:t>
      </w:r>
    </w:p>
    <w:p w14:paraId="7C8FE91A">
      <w:pPr>
        <w:spacing w:line="400" w:lineRule="exact"/>
        <w:rPr>
          <w:rFonts w:ascii="宋体" w:hAnsi="宋体" w:eastAsia="宋体"/>
          <w:color w:val="auto"/>
          <w:sz w:val="28"/>
          <w:szCs w:val="28"/>
          <w:highlight w:val="none"/>
        </w:rPr>
      </w:pPr>
    </w:p>
    <w:p w14:paraId="084581D7">
      <w:pPr>
        <w:jc w:val="center"/>
        <w:rPr>
          <w:rFonts w:ascii="宋体" w:hAnsi="宋体" w:eastAsia="宋体"/>
          <w:color w:val="auto"/>
          <w:sz w:val="28"/>
          <w:szCs w:val="28"/>
          <w:highlight w:val="none"/>
        </w:rPr>
      </w:pPr>
    </w:p>
    <w:p w14:paraId="1DA631AA">
      <w:pPr>
        <w:jc w:val="center"/>
        <w:rPr>
          <w:rFonts w:hint="eastAsia" w:ascii="宋体" w:hAnsi="宋体" w:eastAsia="宋体"/>
          <w:color w:val="auto"/>
          <w:sz w:val="28"/>
          <w:szCs w:val="28"/>
          <w:highlight w:val="none"/>
          <w:lang w:eastAsia="zh-CN"/>
        </w:rPr>
      </w:pPr>
      <w:r>
        <w:rPr>
          <w:rFonts w:hint="eastAsia" w:ascii="宋体" w:hAnsi="宋体" w:eastAsia="宋体"/>
          <w:color w:val="auto"/>
          <w:sz w:val="44"/>
          <w:szCs w:val="44"/>
          <w:highlight w:val="none"/>
          <w:lang w:eastAsia="zh-CN"/>
        </w:rPr>
        <w:t>广州国际文化中心营销策划顾问及首席租赁代理服务（第三次招标）</w:t>
      </w:r>
    </w:p>
    <w:p w14:paraId="538C8AAB">
      <w:pPr>
        <w:rPr>
          <w:rFonts w:ascii="宋体" w:hAnsi="宋体" w:eastAsia="宋体"/>
          <w:color w:val="auto"/>
          <w:sz w:val="28"/>
          <w:szCs w:val="28"/>
          <w:highlight w:val="none"/>
        </w:rPr>
      </w:pPr>
    </w:p>
    <w:p w14:paraId="499C6EB2">
      <w:pPr>
        <w:rPr>
          <w:rFonts w:ascii="宋体" w:hAnsi="宋体" w:eastAsia="宋体"/>
          <w:color w:val="auto"/>
          <w:sz w:val="28"/>
          <w:szCs w:val="28"/>
          <w:highlight w:val="none"/>
        </w:rPr>
      </w:pPr>
    </w:p>
    <w:p w14:paraId="65080C5E">
      <w:pPr>
        <w:rPr>
          <w:rFonts w:ascii="宋体" w:hAnsi="宋体" w:eastAsia="宋体"/>
          <w:color w:val="auto"/>
          <w:sz w:val="28"/>
          <w:szCs w:val="28"/>
          <w:highlight w:val="none"/>
        </w:rPr>
      </w:pPr>
    </w:p>
    <w:p w14:paraId="4D9B7A52">
      <w:pPr>
        <w:rPr>
          <w:rFonts w:ascii="宋体" w:hAnsi="宋体" w:eastAsia="宋体"/>
          <w:color w:val="auto"/>
          <w:sz w:val="28"/>
          <w:szCs w:val="28"/>
          <w:highlight w:val="none"/>
        </w:rPr>
      </w:pPr>
    </w:p>
    <w:p w14:paraId="2E56DA94">
      <w:pPr>
        <w:rPr>
          <w:rFonts w:ascii="宋体" w:hAnsi="宋体" w:eastAsia="宋体"/>
          <w:color w:val="auto"/>
          <w:sz w:val="28"/>
          <w:szCs w:val="28"/>
          <w:highlight w:val="none"/>
        </w:rPr>
      </w:pPr>
    </w:p>
    <w:p w14:paraId="0D424AA9">
      <w:pPr>
        <w:rPr>
          <w:rFonts w:ascii="宋体" w:hAnsi="宋体" w:eastAsia="宋体"/>
          <w:color w:val="auto"/>
          <w:sz w:val="28"/>
          <w:szCs w:val="28"/>
          <w:highlight w:val="none"/>
        </w:rPr>
      </w:pPr>
    </w:p>
    <w:p w14:paraId="4A8663E0">
      <w:pPr>
        <w:rPr>
          <w:rFonts w:ascii="宋体" w:hAnsi="宋体" w:eastAsia="宋体"/>
          <w:color w:val="auto"/>
          <w:sz w:val="28"/>
          <w:szCs w:val="28"/>
          <w:highlight w:val="none"/>
        </w:rPr>
      </w:pPr>
    </w:p>
    <w:p w14:paraId="469B4E72">
      <w:pPr>
        <w:rPr>
          <w:rFonts w:ascii="宋体" w:hAnsi="宋体" w:eastAsia="宋体"/>
          <w:color w:val="auto"/>
          <w:sz w:val="28"/>
          <w:szCs w:val="28"/>
          <w:highlight w:val="none"/>
        </w:rPr>
      </w:pPr>
    </w:p>
    <w:p w14:paraId="3765CFB9">
      <w:pPr>
        <w:rPr>
          <w:rFonts w:ascii="宋体" w:hAnsi="宋体" w:eastAsia="宋体"/>
          <w:color w:val="auto"/>
          <w:sz w:val="28"/>
          <w:szCs w:val="28"/>
          <w:highlight w:val="none"/>
        </w:rPr>
      </w:pPr>
    </w:p>
    <w:p w14:paraId="313022A9">
      <w:pPr>
        <w:jc w:val="center"/>
        <w:rPr>
          <w:rFonts w:ascii="宋体" w:hAnsi="宋体" w:eastAsia="宋体"/>
          <w:color w:val="auto"/>
          <w:sz w:val="44"/>
          <w:szCs w:val="44"/>
          <w:highlight w:val="none"/>
        </w:rPr>
      </w:pPr>
      <w:r>
        <w:rPr>
          <w:rFonts w:hint="eastAsia" w:ascii="宋体" w:hAnsi="宋体" w:eastAsia="宋体"/>
          <w:color w:val="auto"/>
          <w:sz w:val="44"/>
          <w:szCs w:val="44"/>
          <w:highlight w:val="none"/>
        </w:rPr>
        <w:t>投 标 文 件</w:t>
      </w:r>
    </w:p>
    <w:p w14:paraId="3D0EAA17">
      <w:pPr>
        <w:rPr>
          <w:rFonts w:ascii="宋体" w:hAnsi="宋体" w:eastAsia="宋体"/>
          <w:color w:val="auto"/>
          <w:sz w:val="28"/>
          <w:szCs w:val="28"/>
          <w:highlight w:val="none"/>
        </w:rPr>
      </w:pPr>
    </w:p>
    <w:p w14:paraId="5E47CD6B">
      <w:pPr>
        <w:rPr>
          <w:rFonts w:ascii="宋体" w:hAnsi="宋体" w:eastAsia="宋体"/>
          <w:color w:val="auto"/>
          <w:sz w:val="28"/>
          <w:szCs w:val="28"/>
          <w:highlight w:val="none"/>
        </w:rPr>
      </w:pPr>
    </w:p>
    <w:p w14:paraId="3E5DBA82">
      <w:pPr>
        <w:rPr>
          <w:rFonts w:ascii="宋体" w:hAnsi="宋体" w:eastAsia="宋体"/>
          <w:color w:val="auto"/>
          <w:sz w:val="28"/>
          <w:szCs w:val="28"/>
          <w:highlight w:val="none"/>
        </w:rPr>
      </w:pPr>
    </w:p>
    <w:p w14:paraId="07A26CBA">
      <w:pPr>
        <w:rPr>
          <w:rFonts w:ascii="宋体" w:hAnsi="宋体" w:eastAsia="宋体"/>
          <w:color w:val="auto"/>
          <w:sz w:val="28"/>
          <w:szCs w:val="28"/>
          <w:highlight w:val="none"/>
        </w:rPr>
      </w:pPr>
    </w:p>
    <w:p w14:paraId="351C5E12">
      <w:pPr>
        <w:rPr>
          <w:rFonts w:ascii="宋体" w:hAnsi="宋体" w:eastAsia="宋体"/>
          <w:color w:val="auto"/>
          <w:sz w:val="28"/>
          <w:szCs w:val="28"/>
          <w:highlight w:val="none"/>
        </w:rPr>
      </w:pPr>
    </w:p>
    <w:p w14:paraId="3A893077">
      <w:pPr>
        <w:rPr>
          <w:rFonts w:ascii="宋体" w:hAnsi="宋体" w:eastAsia="宋体"/>
          <w:color w:val="auto"/>
          <w:sz w:val="28"/>
          <w:szCs w:val="28"/>
          <w:highlight w:val="none"/>
        </w:rPr>
      </w:pPr>
    </w:p>
    <w:p w14:paraId="3DF97581">
      <w:pPr>
        <w:rPr>
          <w:rFonts w:ascii="宋体" w:hAnsi="宋体" w:eastAsia="宋体"/>
          <w:color w:val="auto"/>
          <w:sz w:val="28"/>
          <w:szCs w:val="28"/>
          <w:highlight w:val="none"/>
        </w:rPr>
      </w:pPr>
    </w:p>
    <w:p w14:paraId="6CF2146B">
      <w:pPr>
        <w:rPr>
          <w:rFonts w:ascii="宋体" w:hAnsi="宋体" w:eastAsia="宋体"/>
          <w:color w:val="auto"/>
          <w:sz w:val="28"/>
          <w:szCs w:val="28"/>
          <w:highlight w:val="none"/>
        </w:rPr>
      </w:pPr>
    </w:p>
    <w:p w14:paraId="50F9FD03">
      <w:pPr>
        <w:rPr>
          <w:rFonts w:ascii="宋体" w:hAnsi="宋体" w:eastAsia="宋体"/>
          <w:color w:val="auto"/>
          <w:sz w:val="28"/>
          <w:szCs w:val="28"/>
          <w:highlight w:val="none"/>
        </w:rPr>
      </w:pPr>
    </w:p>
    <w:p w14:paraId="17E80E61">
      <w:pPr>
        <w:rPr>
          <w:rFonts w:ascii="宋体" w:hAnsi="宋体" w:eastAsia="宋体"/>
          <w:color w:val="auto"/>
          <w:sz w:val="28"/>
          <w:szCs w:val="28"/>
          <w:highlight w:val="none"/>
        </w:rPr>
      </w:pPr>
    </w:p>
    <w:p w14:paraId="7AEDFAB4">
      <w:pPr>
        <w:spacing w:line="360" w:lineRule="auto"/>
        <w:rPr>
          <w:rFonts w:ascii="宋体" w:hAnsi="宋体" w:eastAsia="宋体"/>
          <w:color w:val="auto"/>
          <w:sz w:val="28"/>
          <w:szCs w:val="28"/>
          <w:highlight w:val="none"/>
        </w:rPr>
      </w:pPr>
    </w:p>
    <w:p w14:paraId="410FF9CB">
      <w:pPr>
        <w:spacing w:line="360" w:lineRule="auto"/>
        <w:ind w:firstLine="1120" w:firstLineChars="400"/>
        <w:rPr>
          <w:rFonts w:ascii="宋体" w:hAnsi="宋体" w:eastAsia="宋体"/>
          <w:color w:val="auto"/>
          <w:sz w:val="28"/>
          <w:szCs w:val="28"/>
          <w:highlight w:val="none"/>
        </w:rPr>
      </w:pPr>
      <w:r>
        <w:rPr>
          <w:rFonts w:hint="eastAsia" w:ascii="宋体" w:hAnsi="宋体" w:eastAsia="宋体"/>
          <w:color w:val="auto"/>
          <w:sz w:val="28"/>
          <w:szCs w:val="28"/>
          <w:highlight w:val="none"/>
        </w:rPr>
        <w:t>投标人：</w:t>
      </w:r>
      <w:r>
        <w:rPr>
          <w:rFonts w:hint="eastAsia" w:ascii="宋体" w:hAnsi="宋体" w:eastAsia="宋体"/>
          <w:color w:val="auto"/>
          <w:sz w:val="28"/>
          <w:szCs w:val="28"/>
          <w:highlight w:val="none"/>
          <w:u w:val="single"/>
        </w:rPr>
        <w:t xml:space="preserve">                      </w:t>
      </w:r>
      <w:r>
        <w:rPr>
          <w:rFonts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（盖单位章）</w:t>
      </w:r>
    </w:p>
    <w:p w14:paraId="63F9862D">
      <w:pPr>
        <w:spacing w:line="360" w:lineRule="auto"/>
        <w:ind w:firstLine="1120" w:firstLineChars="400"/>
        <w:jc w:val="left"/>
        <w:rPr>
          <w:rFonts w:ascii="宋体" w:hAnsi="宋体" w:eastAsia="宋体"/>
          <w:color w:val="auto"/>
          <w:sz w:val="28"/>
          <w:szCs w:val="28"/>
          <w:highlight w:val="none"/>
        </w:rPr>
      </w:pPr>
      <w:r>
        <w:rPr>
          <w:rFonts w:hint="eastAsia" w:ascii="宋体" w:hAnsi="宋体" w:eastAsia="宋体"/>
          <w:color w:val="auto"/>
          <w:sz w:val="28"/>
          <w:szCs w:val="28"/>
          <w:highlight w:val="none"/>
        </w:rPr>
        <w:t>法定代表人或其委托代理人：</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（签字或盖章）</w:t>
      </w:r>
    </w:p>
    <w:p w14:paraId="5AD49933">
      <w:pPr>
        <w:jc w:val="center"/>
        <w:rPr>
          <w:rFonts w:ascii="宋体" w:hAnsi="宋体" w:eastAsia="宋体"/>
          <w:color w:val="auto"/>
          <w:sz w:val="28"/>
          <w:szCs w:val="28"/>
          <w:highlight w:val="none"/>
        </w:rPr>
      </w:pPr>
    </w:p>
    <w:p w14:paraId="0BE6B5DA">
      <w:pPr>
        <w:spacing w:line="400" w:lineRule="exact"/>
        <w:jc w:val="center"/>
        <w:rPr>
          <w:rFonts w:ascii="宋体" w:hAnsi="宋体" w:eastAsia="宋体"/>
          <w:color w:val="auto"/>
          <w:sz w:val="28"/>
          <w:szCs w:val="28"/>
          <w:highlight w:val="none"/>
        </w:rPr>
      </w:pP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年</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月</w:t>
      </w:r>
      <w:r>
        <w:rPr>
          <w:rFonts w:hint="eastAsia" w:ascii="宋体" w:hAnsi="宋体" w:eastAsia="宋体"/>
          <w:color w:val="auto"/>
          <w:sz w:val="28"/>
          <w:szCs w:val="28"/>
          <w:highlight w:val="none"/>
          <w:u w:val="single"/>
        </w:rPr>
        <w:t xml:space="preserve">   </w:t>
      </w:r>
      <w:r>
        <w:rPr>
          <w:rFonts w:hint="eastAsia" w:ascii="宋体" w:hAnsi="宋体" w:eastAsia="宋体"/>
          <w:color w:val="auto"/>
          <w:sz w:val="28"/>
          <w:szCs w:val="28"/>
          <w:highlight w:val="none"/>
        </w:rPr>
        <w:t>日</w:t>
      </w:r>
    </w:p>
    <w:p w14:paraId="2DFD7DEF">
      <w:pPr>
        <w:widowControl/>
        <w:jc w:val="left"/>
        <w:rPr>
          <w:rFonts w:ascii="宋体" w:hAnsi="宋体" w:eastAsia="宋体"/>
          <w:color w:val="auto"/>
          <w:sz w:val="28"/>
          <w:szCs w:val="28"/>
          <w:highlight w:val="none"/>
        </w:rPr>
      </w:pPr>
      <w:r>
        <w:rPr>
          <w:rFonts w:ascii="宋体" w:hAnsi="宋体" w:eastAsia="宋体"/>
          <w:color w:val="auto"/>
          <w:sz w:val="28"/>
          <w:szCs w:val="28"/>
          <w:highlight w:val="none"/>
        </w:rPr>
        <w:br w:type="page"/>
      </w:r>
    </w:p>
    <w:p w14:paraId="0A0C5506">
      <w:pPr>
        <w:pStyle w:val="3"/>
        <w:jc w:val="center"/>
        <w:rPr>
          <w:color w:val="auto"/>
          <w:highlight w:val="none"/>
        </w:rPr>
      </w:pPr>
      <w:bookmarkStart w:id="515" w:name="_Toc138236395"/>
      <w:bookmarkStart w:id="516" w:name="_Toc24552"/>
      <w:r>
        <w:rPr>
          <w:rFonts w:hint="eastAsia"/>
          <w:color w:val="auto"/>
          <w:highlight w:val="none"/>
        </w:rPr>
        <w:t>目  录</w:t>
      </w:r>
      <w:bookmarkEnd w:id="515"/>
      <w:bookmarkEnd w:id="516"/>
    </w:p>
    <w:p w14:paraId="7EFA7BC1">
      <w:pPr>
        <w:spacing w:line="36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一、投标函及附录；</w:t>
      </w:r>
    </w:p>
    <w:p w14:paraId="5D4C523B">
      <w:pPr>
        <w:spacing w:line="36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rPr>
        <w:t>二、法定代表人证明书及授权委托证明书；</w:t>
      </w:r>
    </w:p>
    <w:p w14:paraId="0CBF9324">
      <w:pPr>
        <w:spacing w:line="36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lang w:val="en-US" w:eastAsia="zh-CN"/>
        </w:rPr>
        <w:t>三</w:t>
      </w:r>
      <w:r>
        <w:rPr>
          <w:rFonts w:hint="eastAsia" w:ascii="宋体" w:hAnsi="宋体" w:eastAsia="宋体"/>
          <w:color w:val="auto"/>
          <w:sz w:val="24"/>
          <w:szCs w:val="24"/>
          <w:highlight w:val="none"/>
        </w:rPr>
        <w:t>、投标报价表；</w:t>
      </w:r>
    </w:p>
    <w:p w14:paraId="1A82D5A1">
      <w:pPr>
        <w:spacing w:line="36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lang w:val="en-US" w:eastAsia="zh-CN"/>
        </w:rPr>
        <w:t>四</w:t>
      </w:r>
      <w:r>
        <w:rPr>
          <w:rFonts w:hint="eastAsia" w:ascii="宋体" w:hAnsi="宋体" w:eastAsia="宋体"/>
          <w:color w:val="auto"/>
          <w:sz w:val="24"/>
          <w:szCs w:val="24"/>
          <w:highlight w:val="none"/>
        </w:rPr>
        <w:t>、资格审查资料；</w:t>
      </w:r>
    </w:p>
    <w:p w14:paraId="51A0EE99">
      <w:pPr>
        <w:spacing w:line="36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lang w:val="en-US" w:eastAsia="zh-CN"/>
        </w:rPr>
        <w:t>五</w:t>
      </w:r>
      <w:r>
        <w:rPr>
          <w:rFonts w:hint="eastAsia" w:ascii="宋体" w:hAnsi="宋体" w:eastAsia="宋体"/>
          <w:color w:val="auto"/>
          <w:sz w:val="24"/>
          <w:szCs w:val="24"/>
          <w:highlight w:val="none"/>
        </w:rPr>
        <w:t>、投标人声明；</w:t>
      </w:r>
    </w:p>
    <w:p w14:paraId="47AF9281">
      <w:pPr>
        <w:spacing w:line="36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lang w:val="en-US" w:eastAsia="zh-CN"/>
        </w:rPr>
        <w:t>六</w:t>
      </w:r>
      <w:r>
        <w:rPr>
          <w:rFonts w:hint="eastAsia" w:ascii="宋体" w:hAnsi="宋体" w:eastAsia="宋体"/>
          <w:color w:val="auto"/>
          <w:sz w:val="24"/>
          <w:szCs w:val="24"/>
          <w:highlight w:val="none"/>
        </w:rPr>
        <w:t>、商务部分证明材料；</w:t>
      </w:r>
    </w:p>
    <w:p w14:paraId="72F10ABB">
      <w:pPr>
        <w:spacing w:line="36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lang w:val="en-US" w:eastAsia="zh-CN"/>
        </w:rPr>
        <w:t>七</w:t>
      </w:r>
      <w:r>
        <w:rPr>
          <w:rFonts w:hint="eastAsia" w:ascii="宋体" w:hAnsi="宋体" w:eastAsia="宋体"/>
          <w:color w:val="auto"/>
          <w:sz w:val="24"/>
          <w:szCs w:val="24"/>
          <w:highlight w:val="none"/>
        </w:rPr>
        <w:t>、技术服务方案；</w:t>
      </w:r>
    </w:p>
    <w:p w14:paraId="713B8C58">
      <w:pPr>
        <w:spacing w:line="360" w:lineRule="auto"/>
        <w:ind w:firstLine="480" w:firstLineChars="200"/>
        <w:rPr>
          <w:rFonts w:ascii="宋体" w:hAnsi="宋体" w:eastAsia="宋体"/>
          <w:color w:val="auto"/>
          <w:sz w:val="24"/>
          <w:szCs w:val="24"/>
          <w:highlight w:val="none"/>
        </w:rPr>
      </w:pPr>
      <w:r>
        <w:rPr>
          <w:rFonts w:hint="eastAsia" w:ascii="宋体" w:hAnsi="宋体" w:eastAsia="宋体"/>
          <w:color w:val="auto"/>
          <w:sz w:val="24"/>
          <w:szCs w:val="24"/>
          <w:highlight w:val="none"/>
          <w:lang w:val="en-US" w:eastAsia="zh-CN"/>
        </w:rPr>
        <w:t>八</w:t>
      </w:r>
      <w:r>
        <w:rPr>
          <w:rFonts w:hint="eastAsia" w:ascii="宋体" w:hAnsi="宋体" w:eastAsia="宋体"/>
          <w:color w:val="auto"/>
          <w:sz w:val="24"/>
          <w:szCs w:val="24"/>
          <w:highlight w:val="none"/>
        </w:rPr>
        <w:t>、其他资料；</w:t>
      </w:r>
    </w:p>
    <w:p w14:paraId="5199DDA3">
      <w:pPr>
        <w:widowControl/>
        <w:jc w:val="left"/>
        <w:rPr>
          <w:rFonts w:ascii="宋体" w:hAnsi="宋体" w:eastAsia="宋体"/>
          <w:b/>
          <w:color w:val="auto"/>
          <w:sz w:val="30"/>
          <w:szCs w:val="30"/>
          <w:highlight w:val="none"/>
        </w:rPr>
      </w:pPr>
      <w:bookmarkStart w:id="517" w:name="_Toc533084443"/>
      <w:r>
        <w:rPr>
          <w:rFonts w:ascii="宋体" w:hAnsi="宋体" w:eastAsia="宋体"/>
          <w:color w:val="auto"/>
          <w:highlight w:val="none"/>
        </w:rPr>
        <w:br w:type="page"/>
      </w:r>
    </w:p>
    <w:p w14:paraId="75919CB1">
      <w:pPr>
        <w:pStyle w:val="3"/>
        <w:rPr>
          <w:color w:val="auto"/>
          <w:highlight w:val="none"/>
        </w:rPr>
      </w:pPr>
      <w:bookmarkStart w:id="518" w:name="_Toc16821"/>
      <w:bookmarkStart w:id="519" w:name="_Toc138236396"/>
      <w:r>
        <w:rPr>
          <w:rFonts w:hint="eastAsia"/>
          <w:color w:val="auto"/>
          <w:highlight w:val="none"/>
        </w:rPr>
        <w:t>一、投标函及附</w:t>
      </w:r>
      <w:bookmarkEnd w:id="517"/>
      <w:r>
        <w:rPr>
          <w:rFonts w:hint="eastAsia"/>
          <w:color w:val="auto"/>
          <w:highlight w:val="none"/>
        </w:rPr>
        <w:t>录</w:t>
      </w:r>
      <w:bookmarkEnd w:id="518"/>
      <w:bookmarkEnd w:id="519"/>
    </w:p>
    <w:p w14:paraId="3DC6277A">
      <w:pPr>
        <w:pStyle w:val="4"/>
        <w:keepNext w:val="0"/>
        <w:keepLines w:val="0"/>
        <w:spacing w:before="120" w:after="120" w:line="360" w:lineRule="auto"/>
        <w:ind w:firstLine="0" w:firstLineChars="0"/>
        <w:jc w:val="center"/>
        <w:rPr>
          <w:rFonts w:ascii="宋体" w:hAnsi="宋体" w:eastAsia="宋体"/>
          <w:color w:val="auto"/>
          <w:highlight w:val="none"/>
        </w:rPr>
      </w:pPr>
      <w:bookmarkStart w:id="520" w:name="_Toc3888"/>
      <w:bookmarkStart w:id="521" w:name="_Toc138236397"/>
      <w:bookmarkStart w:id="522" w:name="_Toc533084444"/>
      <w:r>
        <w:rPr>
          <w:rFonts w:hint="eastAsia" w:ascii="宋体" w:hAnsi="宋体" w:eastAsia="宋体"/>
          <w:color w:val="auto"/>
          <w:highlight w:val="none"/>
        </w:rPr>
        <w:t>（一）投标函</w:t>
      </w:r>
      <w:bookmarkEnd w:id="520"/>
      <w:bookmarkEnd w:id="521"/>
      <w:bookmarkEnd w:id="522"/>
    </w:p>
    <w:p w14:paraId="2C37B834">
      <w:pPr>
        <w:spacing w:line="360" w:lineRule="auto"/>
        <w:rPr>
          <w:rFonts w:ascii="宋体" w:hAnsi="宋体" w:eastAsia="宋体"/>
          <w:color w:val="auto"/>
          <w:highlight w:val="none"/>
        </w:rPr>
      </w:pPr>
      <w:r>
        <w:rPr>
          <w:rFonts w:hint="eastAsia" w:ascii="宋体" w:hAnsi="宋体" w:eastAsia="宋体"/>
          <w:color w:val="auto"/>
          <w:highlight w:val="none"/>
        </w:rPr>
        <w:t>致招标人：</w:t>
      </w:r>
    </w:p>
    <w:p w14:paraId="0E6A2F87">
      <w:pPr>
        <w:numPr>
          <w:ilvl w:val="0"/>
          <w:numId w:val="18"/>
        </w:numPr>
        <w:tabs>
          <w:tab w:val="left" w:pos="180"/>
        </w:tabs>
        <w:spacing w:line="360" w:lineRule="auto"/>
        <w:rPr>
          <w:rFonts w:ascii="宋体" w:hAnsi="宋体" w:eastAsia="宋体"/>
          <w:color w:val="auto"/>
          <w:highlight w:val="none"/>
        </w:rPr>
      </w:pPr>
      <w:r>
        <w:rPr>
          <w:rFonts w:hint="eastAsia" w:ascii="宋体" w:hAnsi="宋体" w:eastAsia="宋体"/>
          <w:color w:val="auto"/>
          <w:highlight w:val="none"/>
        </w:rPr>
        <w:t>经考察现场并研究贵单位提供的有关资料后，我单位愿以：</w:t>
      </w:r>
      <w:r>
        <w:rPr>
          <w:rFonts w:hint="eastAsia" w:ascii="宋体" w:hAnsi="宋体" w:eastAsia="宋体"/>
          <w:color w:val="auto"/>
          <w:highlight w:val="none"/>
          <w:u w:val="single"/>
        </w:rPr>
        <w:t>《投标报价表》的代理费率</w:t>
      </w:r>
      <w:r>
        <w:rPr>
          <w:rFonts w:hint="eastAsia" w:ascii="宋体" w:hAnsi="宋体" w:eastAsia="宋体"/>
          <w:color w:val="auto"/>
          <w:highlight w:val="none"/>
        </w:rPr>
        <w:t>，并按招标文件和合同规定的服务期限，完成</w:t>
      </w:r>
      <w:r>
        <w:rPr>
          <w:rFonts w:hint="eastAsia" w:ascii="宋体" w:hAnsi="宋体" w:eastAsia="宋体"/>
          <w:color w:val="auto"/>
          <w:highlight w:val="none"/>
          <w:u w:val="single"/>
        </w:rPr>
        <w:t xml:space="preserve">                   </w:t>
      </w:r>
      <w:r>
        <w:rPr>
          <w:rFonts w:hint="eastAsia" w:ascii="宋体" w:hAnsi="宋体" w:eastAsia="宋体"/>
          <w:color w:val="auto"/>
          <w:highlight w:val="none"/>
        </w:rPr>
        <w:t>（项目名称）的全部工作内容。</w:t>
      </w:r>
    </w:p>
    <w:p w14:paraId="7E9D21F9">
      <w:pPr>
        <w:numPr>
          <w:ilvl w:val="0"/>
          <w:numId w:val="18"/>
        </w:numPr>
        <w:tabs>
          <w:tab w:val="left" w:pos="180"/>
        </w:tabs>
        <w:spacing w:line="360" w:lineRule="auto"/>
        <w:rPr>
          <w:rFonts w:ascii="宋体" w:hAnsi="宋体" w:eastAsia="宋体"/>
          <w:color w:val="auto"/>
          <w:highlight w:val="none"/>
        </w:rPr>
      </w:pPr>
      <w:r>
        <w:rPr>
          <w:rFonts w:hint="eastAsia" w:ascii="宋体" w:hAnsi="宋体" w:eastAsia="宋体"/>
          <w:color w:val="auto"/>
          <w:highlight w:val="none"/>
        </w:rPr>
        <w:t>我方完全愿意接受本项目招标文件中的合同条款，如我方中标，我们将在招标人要求的时间内签订技术服务合同。若投标文件不符合招标文件要求，按招标文件要求签署技术服务合同。</w:t>
      </w:r>
    </w:p>
    <w:p w14:paraId="57DD09E9">
      <w:pPr>
        <w:numPr>
          <w:ilvl w:val="0"/>
          <w:numId w:val="18"/>
        </w:numPr>
        <w:tabs>
          <w:tab w:val="left" w:pos="180"/>
        </w:tabs>
        <w:spacing w:line="360" w:lineRule="auto"/>
        <w:rPr>
          <w:rFonts w:ascii="宋体" w:hAnsi="宋体" w:eastAsia="宋体"/>
          <w:color w:val="auto"/>
          <w:highlight w:val="none"/>
        </w:rPr>
      </w:pPr>
      <w:r>
        <w:rPr>
          <w:rFonts w:hint="eastAsia" w:ascii="宋体" w:hAnsi="宋体" w:eastAsia="宋体"/>
          <w:color w:val="auto"/>
          <w:highlight w:val="none"/>
        </w:rPr>
        <w:t>我单位承诺，如果我单位中标，我单位将为上述工作提供不少于本投标书技术服务方案中所注明的投入本项目的设备、仪器、软件以及项目管理人员和技术人员等。</w:t>
      </w:r>
    </w:p>
    <w:p w14:paraId="6B77730C">
      <w:pPr>
        <w:numPr>
          <w:ilvl w:val="0"/>
          <w:numId w:val="18"/>
        </w:numPr>
        <w:tabs>
          <w:tab w:val="left" w:pos="180"/>
        </w:tabs>
        <w:spacing w:line="360" w:lineRule="auto"/>
        <w:rPr>
          <w:rFonts w:ascii="宋体" w:hAnsi="宋体" w:eastAsia="宋体"/>
          <w:color w:val="auto"/>
          <w:highlight w:val="none"/>
        </w:rPr>
      </w:pPr>
      <w:r>
        <w:rPr>
          <w:rFonts w:hint="eastAsia" w:ascii="宋体" w:hAnsi="宋体" w:eastAsia="宋体"/>
          <w:color w:val="auto"/>
          <w:highlight w:val="none"/>
        </w:rPr>
        <w:t>我单位同意在规定的投标有效期</w:t>
      </w:r>
      <w:r>
        <w:rPr>
          <w:rFonts w:hint="eastAsia" w:ascii="宋体" w:hAnsi="宋体" w:eastAsia="宋体"/>
          <w:color w:val="auto"/>
          <w:highlight w:val="none"/>
          <w:u w:val="single"/>
        </w:rPr>
        <w:t xml:space="preserve"> </w:t>
      </w:r>
      <w:r>
        <w:rPr>
          <w:rFonts w:hint="eastAsia" w:ascii="宋体" w:hAnsi="宋体" w:eastAsia="宋体"/>
          <w:b/>
          <w:color w:val="auto"/>
          <w:highlight w:val="none"/>
          <w:u w:val="single"/>
        </w:rPr>
        <w:t>90</w:t>
      </w:r>
      <w:r>
        <w:rPr>
          <w:rFonts w:hint="eastAsia" w:ascii="宋体" w:hAnsi="宋体" w:eastAsia="宋体"/>
          <w:color w:val="auto"/>
          <w:highlight w:val="none"/>
          <w:u w:val="single"/>
        </w:rPr>
        <w:t xml:space="preserve"> </w:t>
      </w:r>
      <w:r>
        <w:rPr>
          <w:rFonts w:hint="eastAsia" w:ascii="宋体" w:hAnsi="宋体" w:eastAsia="宋体"/>
          <w:color w:val="auto"/>
          <w:highlight w:val="none"/>
        </w:rPr>
        <w:t>天内严格遵守本投标书，本投标书对我单位始终有约束力，且随时可能按此投标书中标。</w:t>
      </w:r>
    </w:p>
    <w:p w14:paraId="4D74FBC1">
      <w:pPr>
        <w:numPr>
          <w:ilvl w:val="0"/>
          <w:numId w:val="18"/>
        </w:numPr>
        <w:tabs>
          <w:tab w:val="left" w:pos="180"/>
        </w:tabs>
        <w:spacing w:line="360" w:lineRule="auto"/>
        <w:rPr>
          <w:rFonts w:ascii="宋体" w:hAnsi="宋体" w:eastAsia="宋体"/>
          <w:color w:val="auto"/>
          <w:highlight w:val="none"/>
        </w:rPr>
      </w:pPr>
      <w:r>
        <w:rPr>
          <w:rFonts w:hint="eastAsia" w:ascii="宋体" w:hAnsi="宋体" w:eastAsia="宋体"/>
          <w:color w:val="auto"/>
          <w:highlight w:val="none"/>
        </w:rPr>
        <w:t>我单位若在报价有效期内我们违反上述责任中的任一条，承担由此所造成招标人损失的一切费用。</w:t>
      </w:r>
    </w:p>
    <w:p w14:paraId="0FB33218">
      <w:pPr>
        <w:numPr>
          <w:ilvl w:val="0"/>
          <w:numId w:val="18"/>
        </w:numPr>
        <w:tabs>
          <w:tab w:val="left" w:pos="180"/>
        </w:tabs>
        <w:spacing w:line="360" w:lineRule="auto"/>
        <w:rPr>
          <w:rFonts w:ascii="宋体" w:hAnsi="宋体" w:eastAsia="宋体"/>
          <w:color w:val="auto"/>
          <w:highlight w:val="none"/>
        </w:rPr>
      </w:pPr>
      <w:r>
        <w:rPr>
          <w:rFonts w:hint="eastAsia" w:ascii="宋体" w:hAnsi="宋体" w:eastAsia="宋体"/>
          <w:color w:val="auto"/>
          <w:highlight w:val="none"/>
        </w:rPr>
        <w:t>如我方中标，我方承诺，满足“</w:t>
      </w:r>
      <w:r>
        <w:rPr>
          <w:rFonts w:hint="eastAsia" w:ascii="宋体" w:hAnsi="宋体" w:eastAsia="宋体"/>
          <w:color w:val="auto"/>
          <w:highlight w:val="none"/>
          <w:lang w:eastAsia="zh-CN"/>
        </w:rPr>
        <w:t>招标人需求</w:t>
      </w:r>
      <w:r>
        <w:rPr>
          <w:rFonts w:hint="eastAsia" w:ascii="宋体" w:hAnsi="宋体" w:eastAsia="宋体"/>
          <w:color w:val="auto"/>
          <w:highlight w:val="none"/>
        </w:rPr>
        <w:t>”中的所有内容。</w:t>
      </w:r>
    </w:p>
    <w:p w14:paraId="21EB1675">
      <w:pPr>
        <w:spacing w:line="360" w:lineRule="auto"/>
        <w:ind w:firstLine="420" w:firstLineChars="200"/>
        <w:rPr>
          <w:rFonts w:ascii="宋体" w:hAnsi="宋体" w:eastAsia="宋体"/>
          <w:color w:val="auto"/>
          <w:highlight w:val="none"/>
        </w:rPr>
      </w:pPr>
      <w:r>
        <w:rPr>
          <w:rFonts w:hint="eastAsia" w:ascii="宋体" w:hAnsi="宋体" w:eastAsia="宋体"/>
          <w:color w:val="auto"/>
          <w:highlight w:val="none"/>
        </w:rPr>
        <w:t>我方理解，贵单位不一定接受最低标价的投标或贵单位可能接受其他任何单位中标，同时也理解贵单位不负担我单位的任何投标费用。</w:t>
      </w:r>
    </w:p>
    <w:p w14:paraId="46A29B02">
      <w:pPr>
        <w:spacing w:line="312" w:lineRule="auto"/>
        <w:ind w:firstLine="2520" w:firstLineChars="1200"/>
        <w:jc w:val="left"/>
        <w:rPr>
          <w:rFonts w:ascii="宋体" w:hAnsi="宋体" w:eastAsia="宋体"/>
          <w:color w:val="auto"/>
          <w:highlight w:val="none"/>
        </w:rPr>
      </w:pPr>
    </w:p>
    <w:p w14:paraId="55A02768">
      <w:pPr>
        <w:spacing w:line="312" w:lineRule="auto"/>
        <w:ind w:firstLine="2520" w:firstLineChars="1200"/>
        <w:jc w:val="left"/>
        <w:rPr>
          <w:rFonts w:ascii="宋体" w:hAnsi="宋体" w:eastAsia="宋体"/>
          <w:color w:val="auto"/>
          <w:highlight w:val="none"/>
        </w:rPr>
      </w:pPr>
      <w:r>
        <w:rPr>
          <w:rFonts w:hint="eastAsia" w:ascii="宋体" w:hAnsi="宋体" w:eastAsia="宋体"/>
          <w:color w:val="auto"/>
          <w:highlight w:val="none"/>
        </w:rPr>
        <w:t xml:space="preserve">投 标 人：                      </w:t>
      </w:r>
      <w:r>
        <w:rPr>
          <w:rFonts w:hint="eastAsia" w:ascii="宋体" w:hAnsi="宋体" w:eastAsia="宋体"/>
          <w:color w:val="auto"/>
          <w:highlight w:val="none"/>
        </w:rPr>
        <w:tab/>
      </w:r>
      <w:r>
        <w:rPr>
          <w:rFonts w:hint="eastAsia" w:ascii="宋体" w:hAnsi="宋体" w:eastAsia="宋体"/>
          <w:color w:val="auto"/>
          <w:highlight w:val="none"/>
        </w:rPr>
        <w:t>（盖单位章）</w:t>
      </w:r>
    </w:p>
    <w:p w14:paraId="2C81042E">
      <w:pPr>
        <w:spacing w:line="312" w:lineRule="auto"/>
        <w:jc w:val="left"/>
        <w:rPr>
          <w:rFonts w:ascii="宋体" w:hAnsi="宋体" w:eastAsia="宋体"/>
          <w:color w:val="auto"/>
          <w:highlight w:val="none"/>
        </w:rPr>
      </w:pPr>
      <w:r>
        <w:rPr>
          <w:rFonts w:hint="eastAsia" w:ascii="宋体" w:hAnsi="宋体" w:eastAsia="宋体"/>
          <w:color w:val="auto"/>
          <w:highlight w:val="none"/>
        </w:rPr>
        <w:t xml:space="preserve">                        法定代表人或其委托代理人：</w:t>
      </w:r>
      <w:r>
        <w:rPr>
          <w:rFonts w:hint="eastAsia" w:ascii="宋体" w:hAnsi="宋体" w:eastAsia="宋体"/>
          <w:color w:val="auto"/>
          <w:highlight w:val="none"/>
        </w:rPr>
        <w:tab/>
      </w:r>
      <w:r>
        <w:rPr>
          <w:rFonts w:hint="eastAsia" w:ascii="宋体" w:hAnsi="宋体" w:eastAsia="宋体"/>
          <w:color w:val="auto"/>
          <w:highlight w:val="none"/>
        </w:rPr>
        <w:t xml:space="preserve">      （签字或盖章）</w:t>
      </w:r>
    </w:p>
    <w:p w14:paraId="36D827C2">
      <w:pPr>
        <w:spacing w:line="312" w:lineRule="auto"/>
        <w:ind w:firstLine="2520" w:firstLineChars="1200"/>
        <w:jc w:val="left"/>
        <w:rPr>
          <w:rFonts w:ascii="宋体" w:hAnsi="宋体" w:eastAsia="宋体"/>
          <w:color w:val="auto"/>
          <w:highlight w:val="none"/>
        </w:rPr>
      </w:pPr>
      <w:r>
        <w:rPr>
          <w:rFonts w:hint="eastAsia" w:ascii="宋体" w:hAnsi="宋体" w:eastAsia="宋体"/>
          <w:color w:val="auto"/>
          <w:highlight w:val="none"/>
        </w:rPr>
        <w:t>地    址：</w:t>
      </w:r>
      <w:r>
        <w:rPr>
          <w:rFonts w:hint="eastAsia" w:ascii="宋体" w:hAnsi="宋体" w:eastAsia="宋体"/>
          <w:color w:val="auto"/>
          <w:highlight w:val="none"/>
        </w:rPr>
        <w:tab/>
      </w:r>
      <w:r>
        <w:rPr>
          <w:rFonts w:hint="eastAsia" w:ascii="宋体" w:hAnsi="宋体" w:eastAsia="宋体"/>
          <w:color w:val="auto"/>
          <w:highlight w:val="none"/>
        </w:rPr>
        <w:t xml:space="preserve">                      </w:t>
      </w:r>
    </w:p>
    <w:p w14:paraId="6AE3AA7F">
      <w:pPr>
        <w:spacing w:line="312" w:lineRule="auto"/>
        <w:ind w:firstLine="2520" w:firstLineChars="1200"/>
        <w:jc w:val="left"/>
        <w:rPr>
          <w:rFonts w:ascii="宋体" w:hAnsi="宋体" w:eastAsia="宋体"/>
          <w:color w:val="auto"/>
          <w:highlight w:val="none"/>
        </w:rPr>
      </w:pPr>
      <w:r>
        <w:rPr>
          <w:rFonts w:hint="eastAsia" w:ascii="宋体" w:hAnsi="宋体" w:eastAsia="宋体"/>
          <w:color w:val="auto"/>
          <w:highlight w:val="none"/>
        </w:rPr>
        <w:t>网    址：</w:t>
      </w:r>
      <w:r>
        <w:rPr>
          <w:rFonts w:hint="eastAsia" w:ascii="宋体" w:hAnsi="宋体" w:eastAsia="宋体"/>
          <w:color w:val="auto"/>
          <w:highlight w:val="none"/>
        </w:rPr>
        <w:tab/>
      </w:r>
      <w:r>
        <w:rPr>
          <w:rFonts w:hint="eastAsia" w:ascii="宋体" w:hAnsi="宋体" w:eastAsia="宋体"/>
          <w:color w:val="auto"/>
          <w:highlight w:val="none"/>
        </w:rPr>
        <w:t xml:space="preserve">                      </w:t>
      </w:r>
    </w:p>
    <w:p w14:paraId="7A05C954">
      <w:pPr>
        <w:spacing w:line="312" w:lineRule="auto"/>
        <w:ind w:firstLine="2520" w:firstLineChars="1200"/>
        <w:jc w:val="left"/>
        <w:rPr>
          <w:rFonts w:ascii="宋体" w:hAnsi="宋体" w:eastAsia="宋体"/>
          <w:color w:val="auto"/>
          <w:highlight w:val="none"/>
        </w:rPr>
      </w:pPr>
      <w:r>
        <w:rPr>
          <w:rFonts w:hint="eastAsia" w:ascii="宋体" w:hAnsi="宋体" w:eastAsia="宋体"/>
          <w:color w:val="auto"/>
          <w:highlight w:val="none"/>
        </w:rPr>
        <w:t>电    话：</w:t>
      </w:r>
      <w:r>
        <w:rPr>
          <w:rFonts w:hint="eastAsia" w:ascii="宋体" w:hAnsi="宋体" w:eastAsia="宋体"/>
          <w:color w:val="auto"/>
          <w:highlight w:val="none"/>
        </w:rPr>
        <w:tab/>
      </w:r>
      <w:r>
        <w:rPr>
          <w:rFonts w:hint="eastAsia" w:ascii="宋体" w:hAnsi="宋体" w:eastAsia="宋体"/>
          <w:color w:val="auto"/>
          <w:highlight w:val="none"/>
        </w:rPr>
        <w:t xml:space="preserve">                      </w:t>
      </w:r>
    </w:p>
    <w:p w14:paraId="48C512DA">
      <w:pPr>
        <w:spacing w:line="312" w:lineRule="auto"/>
        <w:ind w:firstLine="2520" w:firstLineChars="1200"/>
        <w:jc w:val="left"/>
        <w:rPr>
          <w:rFonts w:ascii="宋体" w:hAnsi="宋体" w:eastAsia="宋体"/>
          <w:color w:val="auto"/>
          <w:highlight w:val="none"/>
        </w:rPr>
      </w:pPr>
      <w:r>
        <w:rPr>
          <w:rFonts w:hint="eastAsia" w:ascii="宋体" w:hAnsi="宋体" w:eastAsia="宋体"/>
          <w:color w:val="auto"/>
          <w:highlight w:val="none"/>
        </w:rPr>
        <w:t>传    真：</w:t>
      </w:r>
      <w:r>
        <w:rPr>
          <w:rFonts w:hint="eastAsia" w:ascii="宋体" w:hAnsi="宋体" w:eastAsia="宋体"/>
          <w:color w:val="auto"/>
          <w:highlight w:val="none"/>
        </w:rPr>
        <w:tab/>
      </w:r>
      <w:r>
        <w:rPr>
          <w:rFonts w:hint="eastAsia" w:ascii="宋体" w:hAnsi="宋体" w:eastAsia="宋体"/>
          <w:color w:val="auto"/>
          <w:highlight w:val="none"/>
        </w:rPr>
        <w:t xml:space="preserve">                      </w:t>
      </w:r>
    </w:p>
    <w:p w14:paraId="24E77CAD">
      <w:pPr>
        <w:spacing w:line="312" w:lineRule="auto"/>
        <w:ind w:firstLine="2520" w:firstLineChars="1200"/>
        <w:jc w:val="left"/>
        <w:rPr>
          <w:rFonts w:ascii="宋体" w:hAnsi="宋体" w:eastAsia="宋体"/>
          <w:color w:val="auto"/>
          <w:highlight w:val="none"/>
        </w:rPr>
      </w:pPr>
      <w:r>
        <w:rPr>
          <w:rFonts w:hint="eastAsia" w:ascii="宋体" w:hAnsi="宋体" w:eastAsia="宋体"/>
          <w:color w:val="auto"/>
          <w:highlight w:val="none"/>
        </w:rPr>
        <w:t>邮政编码：</w:t>
      </w:r>
      <w:r>
        <w:rPr>
          <w:rFonts w:hint="eastAsia" w:ascii="宋体" w:hAnsi="宋体" w:eastAsia="宋体"/>
          <w:color w:val="auto"/>
          <w:highlight w:val="none"/>
        </w:rPr>
        <w:tab/>
      </w:r>
      <w:r>
        <w:rPr>
          <w:rFonts w:hint="eastAsia" w:ascii="宋体" w:hAnsi="宋体" w:eastAsia="宋体"/>
          <w:color w:val="auto"/>
          <w:highlight w:val="none"/>
        </w:rPr>
        <w:t xml:space="preserve">                      </w:t>
      </w:r>
    </w:p>
    <w:p w14:paraId="11E1C864">
      <w:pPr>
        <w:spacing w:line="312" w:lineRule="auto"/>
        <w:ind w:firstLine="2520" w:firstLineChars="1200"/>
        <w:jc w:val="left"/>
        <w:rPr>
          <w:rFonts w:ascii="宋体" w:hAnsi="宋体" w:eastAsia="宋体"/>
          <w:color w:val="auto"/>
          <w:highlight w:val="none"/>
        </w:rPr>
      </w:pPr>
      <w:r>
        <w:rPr>
          <w:rFonts w:hint="eastAsia" w:ascii="宋体" w:hAnsi="宋体" w:eastAsia="宋体"/>
          <w:color w:val="auto"/>
          <w:highlight w:val="none"/>
        </w:rPr>
        <w:t xml:space="preserve">    　　　　　　　　　 年    月    日</w:t>
      </w:r>
    </w:p>
    <w:p w14:paraId="2AFF4DF8">
      <w:pPr>
        <w:widowControl/>
        <w:jc w:val="left"/>
        <w:rPr>
          <w:rFonts w:ascii="宋体" w:hAnsi="宋体" w:eastAsia="宋体"/>
          <w:color w:val="auto"/>
          <w:highlight w:val="none"/>
        </w:rPr>
      </w:pPr>
    </w:p>
    <w:p w14:paraId="6A57D8E1">
      <w:pPr>
        <w:pStyle w:val="4"/>
        <w:keepNext w:val="0"/>
        <w:keepLines w:val="0"/>
        <w:pageBreakBefore/>
        <w:spacing w:before="120" w:after="120" w:line="360" w:lineRule="auto"/>
        <w:ind w:firstLine="0" w:firstLineChars="0"/>
        <w:jc w:val="center"/>
        <w:rPr>
          <w:rFonts w:ascii="宋体" w:hAnsi="宋体" w:eastAsia="宋体"/>
          <w:color w:val="auto"/>
          <w:highlight w:val="none"/>
        </w:rPr>
      </w:pPr>
      <w:bookmarkStart w:id="523" w:name="_Toc138236398"/>
      <w:bookmarkStart w:id="524" w:name="_Toc4622"/>
      <w:bookmarkStart w:id="525" w:name="_Toc533084445"/>
      <w:r>
        <w:rPr>
          <w:rFonts w:hint="eastAsia" w:ascii="宋体" w:hAnsi="宋体" w:eastAsia="宋体"/>
          <w:color w:val="auto"/>
          <w:highlight w:val="none"/>
        </w:rPr>
        <w:t>（二）投标函附录</w:t>
      </w:r>
      <w:bookmarkEnd w:id="523"/>
      <w:bookmarkEnd w:id="524"/>
      <w:bookmarkEnd w:id="525"/>
    </w:p>
    <w:tbl>
      <w:tblPr>
        <w:tblStyle w:val="32"/>
        <w:tblW w:w="8280"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6300"/>
      </w:tblGrid>
      <w:tr w14:paraId="2B6DD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0" w:type="dxa"/>
            <w:noWrap w:val="0"/>
            <w:vAlign w:val="center"/>
          </w:tcPr>
          <w:p w14:paraId="7C0EA1BE">
            <w:pPr>
              <w:jc w:val="center"/>
              <w:rPr>
                <w:rFonts w:ascii="宋体" w:hAnsi="宋体" w:eastAsia="宋体"/>
                <w:color w:val="auto"/>
                <w:highlight w:val="none"/>
              </w:rPr>
            </w:pPr>
            <w:r>
              <w:rPr>
                <w:rFonts w:hint="eastAsia" w:ascii="宋体" w:hAnsi="宋体" w:eastAsia="宋体"/>
                <w:color w:val="auto"/>
                <w:highlight w:val="none"/>
              </w:rPr>
              <w:t>项    目</w:t>
            </w:r>
          </w:p>
        </w:tc>
        <w:tc>
          <w:tcPr>
            <w:tcW w:w="6300" w:type="dxa"/>
            <w:noWrap w:val="0"/>
            <w:vAlign w:val="center"/>
          </w:tcPr>
          <w:p w14:paraId="5EAE99E2">
            <w:pPr>
              <w:jc w:val="center"/>
              <w:rPr>
                <w:rFonts w:ascii="宋体" w:hAnsi="宋体" w:eastAsia="宋体"/>
                <w:color w:val="auto"/>
                <w:highlight w:val="none"/>
              </w:rPr>
            </w:pPr>
            <w:r>
              <w:rPr>
                <w:rFonts w:hint="eastAsia" w:ascii="宋体" w:hAnsi="宋体" w:eastAsia="宋体"/>
                <w:color w:val="auto"/>
                <w:highlight w:val="none"/>
              </w:rPr>
              <w:t>内    容</w:t>
            </w:r>
          </w:p>
        </w:tc>
      </w:tr>
      <w:tr w14:paraId="09664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0" w:type="dxa"/>
            <w:noWrap w:val="0"/>
            <w:vAlign w:val="center"/>
          </w:tcPr>
          <w:p w14:paraId="0EAE2824">
            <w:pPr>
              <w:jc w:val="center"/>
              <w:rPr>
                <w:rFonts w:ascii="宋体" w:hAnsi="宋体" w:eastAsia="宋体"/>
                <w:color w:val="auto"/>
                <w:highlight w:val="none"/>
              </w:rPr>
            </w:pPr>
            <w:r>
              <w:rPr>
                <w:rFonts w:hint="eastAsia" w:ascii="宋体" w:hAnsi="宋体" w:eastAsia="宋体"/>
                <w:color w:val="auto"/>
                <w:highlight w:val="none"/>
              </w:rPr>
              <w:t>服务期限</w:t>
            </w:r>
          </w:p>
        </w:tc>
        <w:tc>
          <w:tcPr>
            <w:tcW w:w="6300" w:type="dxa"/>
            <w:noWrap w:val="0"/>
            <w:vAlign w:val="center"/>
          </w:tcPr>
          <w:p w14:paraId="723D3E53">
            <w:pPr>
              <w:jc w:val="center"/>
              <w:rPr>
                <w:rFonts w:ascii="宋体" w:hAnsi="宋体" w:eastAsia="宋体"/>
                <w:color w:val="auto"/>
                <w:highlight w:val="none"/>
              </w:rPr>
            </w:pPr>
            <w:r>
              <w:rPr>
                <w:rFonts w:hint="eastAsia" w:ascii="宋体" w:hAnsi="宋体" w:eastAsia="宋体"/>
                <w:color w:val="auto"/>
                <w:highlight w:val="none"/>
              </w:rPr>
              <w:t>按招标文件要求</w:t>
            </w:r>
          </w:p>
        </w:tc>
      </w:tr>
      <w:tr w14:paraId="6ED95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0" w:type="dxa"/>
            <w:noWrap w:val="0"/>
            <w:vAlign w:val="center"/>
          </w:tcPr>
          <w:p w14:paraId="736BBA9F">
            <w:pPr>
              <w:jc w:val="center"/>
              <w:rPr>
                <w:rFonts w:ascii="宋体" w:hAnsi="宋体" w:eastAsia="宋体"/>
                <w:color w:val="auto"/>
                <w:highlight w:val="none"/>
              </w:rPr>
            </w:pPr>
            <w:r>
              <w:rPr>
                <w:rFonts w:hint="eastAsia" w:ascii="宋体" w:hAnsi="宋体" w:eastAsia="宋体"/>
                <w:color w:val="auto"/>
                <w:highlight w:val="none"/>
              </w:rPr>
              <w:t>质量要求</w:t>
            </w:r>
          </w:p>
        </w:tc>
        <w:tc>
          <w:tcPr>
            <w:tcW w:w="6300" w:type="dxa"/>
            <w:noWrap w:val="0"/>
            <w:vAlign w:val="center"/>
          </w:tcPr>
          <w:p w14:paraId="5DA7D05D">
            <w:pPr>
              <w:jc w:val="center"/>
              <w:rPr>
                <w:rFonts w:ascii="宋体" w:hAnsi="宋体" w:eastAsia="宋体"/>
                <w:color w:val="auto"/>
                <w:highlight w:val="none"/>
              </w:rPr>
            </w:pPr>
            <w:r>
              <w:rPr>
                <w:rFonts w:hint="eastAsia" w:ascii="宋体" w:hAnsi="宋体" w:eastAsia="宋体"/>
                <w:color w:val="auto"/>
                <w:highlight w:val="none"/>
              </w:rPr>
              <w:t>按招标文件要求</w:t>
            </w:r>
          </w:p>
        </w:tc>
      </w:tr>
      <w:tr w14:paraId="245C4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0" w:type="dxa"/>
            <w:vMerge w:val="restart"/>
            <w:tcBorders>
              <w:top w:val="single" w:color="auto" w:sz="4" w:space="0"/>
              <w:left w:val="single" w:color="auto" w:sz="4" w:space="0"/>
              <w:right w:val="single" w:color="auto" w:sz="4" w:space="0"/>
            </w:tcBorders>
            <w:noWrap w:val="0"/>
            <w:vAlign w:val="center"/>
          </w:tcPr>
          <w:p w14:paraId="11C6B921">
            <w:pPr>
              <w:jc w:val="center"/>
              <w:rPr>
                <w:rFonts w:ascii="宋体" w:hAnsi="宋体" w:eastAsia="宋体"/>
                <w:color w:val="auto"/>
                <w:highlight w:val="none"/>
              </w:rPr>
            </w:pPr>
            <w:r>
              <w:rPr>
                <w:rFonts w:hint="eastAsia" w:ascii="宋体" w:hAnsi="宋体" w:eastAsia="宋体"/>
                <w:color w:val="auto"/>
                <w:highlight w:val="none"/>
              </w:rPr>
              <w:t>项目负责人</w:t>
            </w:r>
          </w:p>
        </w:tc>
        <w:tc>
          <w:tcPr>
            <w:tcW w:w="6300" w:type="dxa"/>
            <w:tcBorders>
              <w:top w:val="single" w:color="auto" w:sz="4" w:space="0"/>
              <w:left w:val="single" w:color="auto" w:sz="4" w:space="0"/>
              <w:bottom w:val="single" w:color="auto" w:sz="4" w:space="0"/>
              <w:right w:val="single" w:color="auto" w:sz="4" w:space="0"/>
            </w:tcBorders>
            <w:noWrap w:val="0"/>
            <w:vAlign w:val="center"/>
          </w:tcPr>
          <w:p w14:paraId="09D795FB">
            <w:pPr>
              <w:rPr>
                <w:rFonts w:ascii="宋体" w:hAnsi="宋体" w:eastAsia="宋体"/>
                <w:color w:val="auto"/>
                <w:highlight w:val="none"/>
              </w:rPr>
            </w:pPr>
            <w:r>
              <w:rPr>
                <w:rFonts w:hint="eastAsia" w:ascii="宋体" w:hAnsi="宋体" w:eastAsia="宋体"/>
                <w:color w:val="auto"/>
                <w:highlight w:val="none"/>
              </w:rPr>
              <w:t>姓名：</w:t>
            </w:r>
          </w:p>
        </w:tc>
      </w:tr>
      <w:tr w14:paraId="36B68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0" w:type="dxa"/>
            <w:vMerge w:val="continue"/>
            <w:tcBorders>
              <w:left w:val="single" w:color="auto" w:sz="4" w:space="0"/>
              <w:right w:val="single" w:color="auto" w:sz="4" w:space="0"/>
            </w:tcBorders>
            <w:noWrap w:val="0"/>
            <w:vAlign w:val="center"/>
          </w:tcPr>
          <w:p w14:paraId="74E69C01">
            <w:pPr>
              <w:jc w:val="center"/>
              <w:rPr>
                <w:rFonts w:ascii="宋体" w:hAnsi="宋体" w:eastAsia="宋体"/>
                <w:color w:val="auto"/>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14:paraId="453009E2">
            <w:pPr>
              <w:rPr>
                <w:rFonts w:ascii="宋体" w:hAnsi="宋体" w:eastAsia="宋体"/>
                <w:color w:val="auto"/>
                <w:highlight w:val="none"/>
              </w:rPr>
            </w:pPr>
            <w:r>
              <w:rPr>
                <w:rFonts w:hint="eastAsia" w:ascii="宋体" w:hAnsi="宋体" w:eastAsia="宋体"/>
                <w:color w:val="auto"/>
                <w:highlight w:val="none"/>
              </w:rPr>
              <w:t>技术职称：</w:t>
            </w:r>
          </w:p>
        </w:tc>
      </w:tr>
      <w:tr w14:paraId="10CEE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980" w:type="dxa"/>
            <w:vMerge w:val="continue"/>
            <w:tcBorders>
              <w:left w:val="single" w:color="auto" w:sz="4" w:space="0"/>
              <w:bottom w:val="single" w:color="auto" w:sz="4" w:space="0"/>
              <w:right w:val="single" w:color="auto" w:sz="4" w:space="0"/>
            </w:tcBorders>
            <w:noWrap w:val="0"/>
            <w:vAlign w:val="center"/>
          </w:tcPr>
          <w:p w14:paraId="4AF8DAD4">
            <w:pPr>
              <w:jc w:val="center"/>
              <w:rPr>
                <w:rFonts w:ascii="宋体" w:hAnsi="宋体" w:eastAsia="宋体"/>
                <w:color w:val="auto"/>
                <w:highlight w:val="none"/>
              </w:rPr>
            </w:pPr>
          </w:p>
        </w:tc>
        <w:tc>
          <w:tcPr>
            <w:tcW w:w="6300" w:type="dxa"/>
            <w:tcBorders>
              <w:top w:val="single" w:color="auto" w:sz="4" w:space="0"/>
              <w:left w:val="single" w:color="auto" w:sz="4" w:space="0"/>
              <w:bottom w:val="single" w:color="auto" w:sz="4" w:space="0"/>
              <w:right w:val="single" w:color="auto" w:sz="4" w:space="0"/>
            </w:tcBorders>
            <w:noWrap w:val="0"/>
            <w:vAlign w:val="center"/>
          </w:tcPr>
          <w:p w14:paraId="2729C31D">
            <w:pPr>
              <w:rPr>
                <w:rFonts w:ascii="宋体" w:hAnsi="宋体" w:eastAsia="宋体"/>
                <w:color w:val="auto"/>
                <w:highlight w:val="none"/>
              </w:rPr>
            </w:pPr>
            <w:r>
              <w:rPr>
                <w:rFonts w:hint="eastAsia" w:ascii="宋体" w:hAnsi="宋体" w:eastAsia="宋体"/>
                <w:color w:val="auto"/>
                <w:highlight w:val="none"/>
              </w:rPr>
              <w:t>身份证号码：</w:t>
            </w:r>
          </w:p>
        </w:tc>
      </w:tr>
    </w:tbl>
    <w:p w14:paraId="0FFE43C6">
      <w:pPr>
        <w:spacing w:line="360" w:lineRule="auto"/>
        <w:rPr>
          <w:rFonts w:ascii="宋体" w:hAnsi="宋体" w:eastAsia="宋体"/>
          <w:color w:val="auto"/>
          <w:highlight w:val="none"/>
        </w:rPr>
      </w:pPr>
    </w:p>
    <w:p w14:paraId="037AEA4D">
      <w:pPr>
        <w:widowControl/>
        <w:spacing w:line="360" w:lineRule="auto"/>
        <w:ind w:firstLine="1995" w:firstLineChars="950"/>
        <w:jc w:val="left"/>
        <w:rPr>
          <w:rFonts w:ascii="宋体" w:hAnsi="宋体" w:eastAsia="宋体"/>
          <w:color w:val="auto"/>
          <w:highlight w:val="none"/>
        </w:rPr>
      </w:pPr>
      <w:bookmarkStart w:id="526" w:name="_Toc352691655"/>
      <w:bookmarkStart w:id="527" w:name="_Toc7039"/>
      <w:bookmarkStart w:id="528" w:name="_Toc369531691"/>
      <w:r>
        <w:rPr>
          <w:rFonts w:hint="eastAsia" w:ascii="宋体" w:hAnsi="宋体" w:eastAsia="宋体"/>
          <w:color w:val="auto"/>
          <w:highlight w:val="none"/>
        </w:rPr>
        <w:t>投标人：</w:t>
      </w:r>
      <w:r>
        <w:rPr>
          <w:rFonts w:ascii="宋体" w:hAnsi="宋体" w:eastAsia="宋体"/>
          <w:color w:val="auto"/>
          <w:highlight w:val="none"/>
        </w:rPr>
        <w:t xml:space="preserve">(盖单位章)                                    </w:t>
      </w:r>
    </w:p>
    <w:p w14:paraId="30581BC8">
      <w:pPr>
        <w:widowControl/>
        <w:spacing w:line="360" w:lineRule="auto"/>
        <w:ind w:firstLine="1995" w:firstLineChars="950"/>
        <w:jc w:val="left"/>
        <w:rPr>
          <w:rFonts w:ascii="宋体" w:hAnsi="宋体" w:eastAsia="宋体"/>
          <w:color w:val="auto"/>
          <w:highlight w:val="none"/>
        </w:rPr>
      </w:pPr>
      <w:r>
        <w:rPr>
          <w:rFonts w:hint="eastAsia" w:ascii="宋体" w:hAnsi="宋体" w:eastAsia="宋体"/>
          <w:color w:val="auto"/>
          <w:highlight w:val="none"/>
        </w:rPr>
        <w:t>法定代表人或授权委托人：（签字或盖章）</w:t>
      </w:r>
      <w:r>
        <w:rPr>
          <w:rFonts w:ascii="宋体" w:hAnsi="宋体" w:eastAsia="宋体"/>
          <w:color w:val="auto"/>
          <w:highlight w:val="none"/>
        </w:rPr>
        <w:t xml:space="preserve">         </w:t>
      </w:r>
    </w:p>
    <w:p w14:paraId="15C57FD6">
      <w:pPr>
        <w:widowControl/>
        <w:spacing w:line="360" w:lineRule="auto"/>
        <w:ind w:firstLine="1995" w:firstLineChars="950"/>
        <w:jc w:val="left"/>
        <w:rPr>
          <w:rFonts w:ascii="宋体" w:hAnsi="宋体" w:eastAsia="宋体"/>
          <w:color w:val="auto"/>
          <w:highlight w:val="none"/>
        </w:rPr>
      </w:pPr>
      <w:r>
        <w:rPr>
          <w:rFonts w:hint="eastAsia" w:ascii="宋体" w:hAnsi="宋体" w:eastAsia="宋体"/>
          <w:color w:val="auto"/>
          <w:highlight w:val="none"/>
        </w:rPr>
        <w:t>日期：</w:t>
      </w:r>
      <w:r>
        <w:rPr>
          <w:rFonts w:ascii="宋体" w:hAnsi="宋体" w:eastAsia="宋体"/>
          <w:color w:val="auto"/>
          <w:highlight w:val="none"/>
        </w:rPr>
        <w:t xml:space="preserve">        </w:t>
      </w:r>
      <w:r>
        <w:rPr>
          <w:rFonts w:hint="eastAsia" w:ascii="宋体" w:hAnsi="宋体" w:eastAsia="宋体"/>
          <w:color w:val="auto"/>
          <w:highlight w:val="none"/>
        </w:rPr>
        <w:t>年</w:t>
      </w:r>
      <w:r>
        <w:rPr>
          <w:rFonts w:ascii="宋体" w:hAnsi="宋体" w:eastAsia="宋体"/>
          <w:color w:val="auto"/>
          <w:highlight w:val="none"/>
        </w:rPr>
        <w:t xml:space="preserve">       </w:t>
      </w:r>
      <w:r>
        <w:rPr>
          <w:rFonts w:hint="eastAsia" w:ascii="宋体" w:hAnsi="宋体" w:eastAsia="宋体"/>
          <w:color w:val="auto"/>
          <w:highlight w:val="none"/>
        </w:rPr>
        <w:t>月</w:t>
      </w:r>
      <w:r>
        <w:rPr>
          <w:rFonts w:ascii="宋体" w:hAnsi="宋体" w:eastAsia="宋体"/>
          <w:color w:val="auto"/>
          <w:highlight w:val="none"/>
        </w:rPr>
        <w:t xml:space="preserve">      </w:t>
      </w:r>
      <w:r>
        <w:rPr>
          <w:rFonts w:hint="eastAsia" w:ascii="宋体" w:hAnsi="宋体" w:eastAsia="宋体"/>
          <w:color w:val="auto"/>
          <w:highlight w:val="none"/>
        </w:rPr>
        <w:t>日</w:t>
      </w:r>
    </w:p>
    <w:p w14:paraId="185F960B">
      <w:pPr>
        <w:widowControl/>
        <w:jc w:val="left"/>
        <w:rPr>
          <w:rFonts w:ascii="宋体" w:hAnsi="宋体" w:eastAsia="宋体"/>
          <w:color w:val="auto"/>
          <w:highlight w:val="none"/>
        </w:rPr>
      </w:pPr>
      <w:r>
        <w:rPr>
          <w:rFonts w:ascii="宋体" w:hAnsi="宋体" w:eastAsia="宋体"/>
          <w:color w:val="auto"/>
          <w:highlight w:val="none"/>
        </w:rPr>
        <w:br w:type="page"/>
      </w:r>
    </w:p>
    <w:bookmarkEnd w:id="450"/>
    <w:bookmarkEnd w:id="451"/>
    <w:bookmarkEnd w:id="452"/>
    <w:bookmarkEnd w:id="453"/>
    <w:bookmarkEnd w:id="454"/>
    <w:bookmarkEnd w:id="455"/>
    <w:bookmarkEnd w:id="456"/>
    <w:bookmarkEnd w:id="457"/>
    <w:bookmarkEnd w:id="458"/>
    <w:bookmarkEnd w:id="526"/>
    <w:bookmarkEnd w:id="527"/>
    <w:bookmarkEnd w:id="528"/>
    <w:p w14:paraId="2DFD4311">
      <w:pPr>
        <w:pStyle w:val="3"/>
        <w:rPr>
          <w:color w:val="auto"/>
          <w:highlight w:val="none"/>
        </w:rPr>
      </w:pPr>
      <w:bookmarkStart w:id="529" w:name="_Toc15286"/>
      <w:bookmarkStart w:id="530" w:name="_Toc138236399"/>
      <w:bookmarkStart w:id="531" w:name="_Toc533084446"/>
      <w:r>
        <w:rPr>
          <w:rFonts w:hint="eastAsia"/>
          <w:color w:val="auto"/>
          <w:highlight w:val="none"/>
        </w:rPr>
        <w:t>二、法定代表人证明书及授权委托证明书</w:t>
      </w:r>
      <w:bookmarkEnd w:id="529"/>
      <w:bookmarkEnd w:id="530"/>
      <w:bookmarkEnd w:id="531"/>
    </w:p>
    <w:p w14:paraId="34034CA0">
      <w:pPr>
        <w:jc w:val="center"/>
        <w:rPr>
          <w:rFonts w:ascii="宋体" w:hAnsi="宋体" w:eastAsia="宋体"/>
          <w:color w:val="auto"/>
          <w:highlight w:val="none"/>
        </w:rPr>
      </w:pPr>
      <w:r>
        <w:rPr>
          <w:rFonts w:hint="eastAsia" w:ascii="宋体" w:hAnsi="宋体" w:eastAsia="宋体"/>
          <w:color w:val="auto"/>
          <w:highlight w:val="none"/>
        </w:rPr>
        <w:t>法定代表人证明书</w:t>
      </w:r>
    </w:p>
    <w:p w14:paraId="2F82927D">
      <w:pPr>
        <w:spacing w:line="360" w:lineRule="auto"/>
        <w:rPr>
          <w:rFonts w:ascii="宋体" w:hAnsi="宋体" w:eastAsia="宋体"/>
          <w:color w:val="auto"/>
          <w:highlight w:val="none"/>
        </w:rPr>
      </w:pPr>
      <w:r>
        <w:rPr>
          <w:rFonts w:ascii="宋体" w:hAnsi="宋体" w:eastAsia="宋体"/>
          <w:color w:val="auto"/>
          <w:highlight w:val="none"/>
        </w:rPr>
        <mc:AlternateContent>
          <mc:Choice Requires="wps">
            <w:drawing>
              <wp:anchor distT="0" distB="0" distL="114300" distR="114300" simplePos="0" relativeHeight="251659264" behindDoc="0" locked="0" layoutInCell="1" allowOverlap="1">
                <wp:simplePos x="0" y="0"/>
                <wp:positionH relativeFrom="column">
                  <wp:posOffset>-133985</wp:posOffset>
                </wp:positionH>
                <wp:positionV relativeFrom="paragraph">
                  <wp:posOffset>80645</wp:posOffset>
                </wp:positionV>
                <wp:extent cx="5943600" cy="2773680"/>
                <wp:effectExtent l="5080" t="5080" r="13970" b="21590"/>
                <wp:wrapNone/>
                <wp:docPr id="24" name="文本框 24"/>
                <wp:cNvGraphicFramePr/>
                <a:graphic xmlns:a="http://schemas.openxmlformats.org/drawingml/2006/main">
                  <a:graphicData uri="http://schemas.microsoft.com/office/word/2010/wordprocessingShape">
                    <wps:wsp>
                      <wps:cNvSpPr txBox="1">
                        <a:spLocks noChangeArrowheads="1"/>
                      </wps:cNvSpPr>
                      <wps:spPr>
                        <a:xfrm>
                          <a:off x="0" y="0"/>
                          <a:ext cx="5943600" cy="27736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960DBD7">
                            <w:pPr>
                              <w:spacing w:before="120" w:line="360" w:lineRule="auto"/>
                              <w:rPr>
                                <w:rFonts w:ascii="宋体" w:hAnsi="宋体" w:eastAsia="宋体"/>
                                <w:sz w:val="24"/>
                                <w:szCs w:val="24"/>
                              </w:rPr>
                            </w:pPr>
                            <w:r>
                              <w:rPr>
                                <w:rFonts w:hint="eastAsia" w:ascii="宋体" w:hAnsi="宋体" w:eastAsia="宋体"/>
                                <w:sz w:val="24"/>
                                <w:szCs w:val="24"/>
                                <w:u w:val="single"/>
                              </w:rPr>
                              <w:t xml:space="preserve">                </w:t>
                            </w:r>
                            <w:r>
                              <w:rPr>
                                <w:rFonts w:hint="eastAsia" w:ascii="宋体" w:hAnsi="宋体" w:eastAsia="宋体"/>
                                <w:sz w:val="24"/>
                                <w:szCs w:val="24"/>
                              </w:rPr>
                              <w:t>现任我单位</w:t>
                            </w:r>
                            <w:r>
                              <w:rPr>
                                <w:rFonts w:hint="eastAsia" w:ascii="宋体" w:hAnsi="宋体" w:eastAsia="宋体"/>
                                <w:sz w:val="24"/>
                                <w:szCs w:val="24"/>
                                <w:u w:val="single"/>
                              </w:rPr>
                              <w:t xml:space="preserve">            </w:t>
                            </w:r>
                            <w:r>
                              <w:rPr>
                                <w:rFonts w:hint="eastAsia" w:ascii="宋体" w:hAnsi="宋体" w:eastAsia="宋体"/>
                                <w:sz w:val="24"/>
                                <w:szCs w:val="24"/>
                              </w:rPr>
                              <w:t>职务，为法定代表人（负责人），</w:t>
                            </w:r>
                          </w:p>
                          <w:p w14:paraId="32E3801D">
                            <w:pPr>
                              <w:snapToGrid w:val="0"/>
                              <w:spacing w:line="360" w:lineRule="auto"/>
                              <w:rPr>
                                <w:rFonts w:ascii="宋体" w:hAnsi="宋体" w:eastAsia="宋体"/>
                                <w:sz w:val="24"/>
                                <w:szCs w:val="24"/>
                              </w:rPr>
                            </w:pPr>
                            <w:r>
                              <w:rPr>
                                <w:rFonts w:hint="eastAsia" w:ascii="宋体" w:hAnsi="宋体" w:eastAsia="宋体"/>
                                <w:sz w:val="24"/>
                                <w:szCs w:val="24"/>
                              </w:rPr>
                              <w:t>特此证明。</w:t>
                            </w:r>
                          </w:p>
                          <w:p w14:paraId="4482920B">
                            <w:pPr>
                              <w:snapToGrid w:val="0"/>
                              <w:spacing w:line="360" w:lineRule="auto"/>
                              <w:rPr>
                                <w:rFonts w:ascii="宋体" w:hAnsi="宋体" w:eastAsia="宋体"/>
                                <w:sz w:val="24"/>
                                <w:szCs w:val="24"/>
                                <w:u w:val="single"/>
                              </w:rPr>
                            </w:pPr>
                            <w:r>
                              <w:rPr>
                                <w:rFonts w:hint="eastAsia" w:ascii="宋体" w:hAnsi="宋体" w:eastAsia="宋体"/>
                                <w:sz w:val="24"/>
                                <w:szCs w:val="24"/>
                              </w:rPr>
                              <w:t>有效期限：</w:t>
                            </w:r>
                            <w:r>
                              <w:rPr>
                                <w:rFonts w:hint="eastAsia" w:ascii="宋体" w:hAnsi="宋体" w:eastAsia="宋体"/>
                                <w:sz w:val="24"/>
                                <w:szCs w:val="24"/>
                                <w:u w:val="single"/>
                              </w:rPr>
                              <w:t xml:space="preserve">                                </w:t>
                            </w:r>
                            <w:r>
                              <w:rPr>
                                <w:rFonts w:hint="eastAsia" w:ascii="宋体" w:hAnsi="宋体" w:eastAsia="宋体"/>
                                <w:sz w:val="24"/>
                                <w:szCs w:val="24"/>
                              </w:rPr>
                              <w:t xml:space="preserve">  </w:t>
                            </w:r>
                          </w:p>
                          <w:p w14:paraId="71B4BE1E">
                            <w:pPr>
                              <w:snapToGrid w:val="0"/>
                              <w:spacing w:line="360" w:lineRule="auto"/>
                              <w:rPr>
                                <w:rFonts w:ascii="宋体" w:hAnsi="宋体" w:eastAsia="宋体"/>
                                <w:sz w:val="24"/>
                                <w:szCs w:val="24"/>
                                <w:u w:val="single"/>
                              </w:rPr>
                            </w:pPr>
                            <w:r>
                              <w:rPr>
                                <w:rFonts w:hint="eastAsia" w:ascii="宋体" w:hAnsi="宋体" w:eastAsia="宋体"/>
                                <w:sz w:val="24"/>
                                <w:szCs w:val="24"/>
                              </w:rPr>
                              <w:t>附：法定代表人（负责人）性别：</w:t>
                            </w:r>
                            <w:r>
                              <w:rPr>
                                <w:rFonts w:hint="eastAsia" w:ascii="宋体" w:hAnsi="宋体" w:eastAsia="宋体"/>
                                <w:sz w:val="24"/>
                                <w:szCs w:val="24"/>
                                <w:u w:val="single"/>
                              </w:rPr>
                              <w:t xml:space="preserve">    </w:t>
                            </w:r>
                            <w:r>
                              <w:rPr>
                                <w:rFonts w:hint="eastAsia" w:ascii="宋体" w:hAnsi="宋体" w:eastAsia="宋体"/>
                                <w:sz w:val="24"/>
                                <w:szCs w:val="24"/>
                              </w:rPr>
                              <w:t>年龄：</w:t>
                            </w:r>
                            <w:r>
                              <w:rPr>
                                <w:rFonts w:hint="eastAsia" w:ascii="宋体" w:hAnsi="宋体" w:eastAsia="宋体"/>
                                <w:sz w:val="24"/>
                                <w:szCs w:val="24"/>
                                <w:u w:val="single"/>
                              </w:rPr>
                              <w:t xml:space="preserve">   </w:t>
                            </w:r>
                            <w:r>
                              <w:rPr>
                                <w:rFonts w:hint="eastAsia" w:ascii="宋体" w:hAnsi="宋体" w:eastAsia="宋体"/>
                                <w:sz w:val="24"/>
                                <w:szCs w:val="24"/>
                              </w:rPr>
                              <w:t>身份证号码：</w:t>
                            </w:r>
                            <w:r>
                              <w:rPr>
                                <w:rFonts w:hint="eastAsia" w:ascii="宋体" w:hAnsi="宋体" w:eastAsia="宋体"/>
                                <w:sz w:val="24"/>
                                <w:szCs w:val="24"/>
                                <w:u w:val="single"/>
                              </w:rPr>
                              <w:t xml:space="preserve">         </w:t>
                            </w:r>
                          </w:p>
                          <w:p w14:paraId="2418C656">
                            <w:pPr>
                              <w:snapToGrid w:val="0"/>
                              <w:spacing w:line="360" w:lineRule="auto"/>
                              <w:ind w:firstLine="570"/>
                              <w:rPr>
                                <w:rFonts w:ascii="宋体" w:hAnsi="宋体" w:eastAsia="宋体"/>
                                <w:sz w:val="24"/>
                                <w:szCs w:val="24"/>
                                <w:u w:val="single"/>
                              </w:rPr>
                            </w:pPr>
                            <w:r>
                              <w:rPr>
                                <w:rFonts w:hint="eastAsia" w:ascii="宋体" w:hAnsi="宋体" w:eastAsia="宋体"/>
                                <w:sz w:val="24"/>
                                <w:szCs w:val="24"/>
                              </w:rPr>
                              <w:t>注册号码：</w:t>
                            </w:r>
                            <w:r>
                              <w:rPr>
                                <w:rFonts w:hint="eastAsia" w:ascii="宋体" w:hAnsi="宋体" w:eastAsia="宋体"/>
                                <w:sz w:val="24"/>
                                <w:szCs w:val="24"/>
                                <w:u w:val="single"/>
                              </w:rPr>
                              <w:t xml:space="preserve">                     </w:t>
                            </w:r>
                            <w:r>
                              <w:rPr>
                                <w:rFonts w:hint="eastAsia" w:ascii="宋体" w:hAnsi="宋体" w:eastAsia="宋体"/>
                                <w:sz w:val="24"/>
                                <w:szCs w:val="24"/>
                              </w:rPr>
                              <w:t>企业类型：</w:t>
                            </w:r>
                            <w:r>
                              <w:rPr>
                                <w:rFonts w:hint="eastAsia" w:ascii="宋体" w:hAnsi="宋体" w:eastAsia="宋体"/>
                                <w:sz w:val="24"/>
                                <w:szCs w:val="24"/>
                                <w:u w:val="single"/>
                              </w:rPr>
                              <w:t xml:space="preserve">                   </w:t>
                            </w:r>
                          </w:p>
                          <w:p w14:paraId="1D551404">
                            <w:pPr>
                              <w:snapToGrid w:val="0"/>
                              <w:spacing w:line="360" w:lineRule="auto"/>
                              <w:ind w:firstLine="570"/>
                              <w:rPr>
                                <w:rFonts w:ascii="宋体" w:hAnsi="宋体" w:eastAsia="宋体"/>
                                <w:sz w:val="24"/>
                                <w:szCs w:val="24"/>
                                <w:u w:val="single"/>
                              </w:rPr>
                            </w:pPr>
                            <w:r>
                              <w:rPr>
                                <w:rFonts w:hint="eastAsia" w:ascii="宋体" w:hAnsi="宋体" w:eastAsia="宋体"/>
                                <w:sz w:val="24"/>
                                <w:szCs w:val="24"/>
                              </w:rPr>
                              <w:t>经营范围：</w:t>
                            </w:r>
                            <w:r>
                              <w:rPr>
                                <w:rFonts w:hint="eastAsia" w:ascii="宋体" w:hAnsi="宋体" w:eastAsia="宋体"/>
                                <w:sz w:val="24"/>
                                <w:szCs w:val="24"/>
                                <w:u w:val="single"/>
                              </w:rPr>
                              <w:t xml:space="preserve">                       </w:t>
                            </w:r>
                          </w:p>
                          <w:p w14:paraId="196525C0">
                            <w:pPr>
                              <w:snapToGrid w:val="0"/>
                              <w:spacing w:line="360" w:lineRule="auto"/>
                              <w:ind w:firstLine="570"/>
                              <w:jc w:val="right"/>
                              <w:rPr>
                                <w:rFonts w:ascii="宋体" w:hAnsi="宋体" w:eastAsia="宋体"/>
                                <w:sz w:val="24"/>
                                <w:szCs w:val="24"/>
                              </w:rPr>
                            </w:pPr>
                            <w:r>
                              <w:rPr>
                                <w:rFonts w:hint="eastAsia" w:ascii="宋体" w:hAnsi="宋体" w:eastAsia="宋体"/>
                                <w:sz w:val="24"/>
                                <w:szCs w:val="24"/>
                              </w:rPr>
                              <w:t>单位：            （盖单位章）</w:t>
                            </w:r>
                          </w:p>
                          <w:p w14:paraId="775B1CC1">
                            <w:pPr>
                              <w:snapToGrid w:val="0"/>
                              <w:spacing w:line="360" w:lineRule="auto"/>
                              <w:ind w:firstLine="570"/>
                              <w:jc w:val="center"/>
                              <w:rPr>
                                <w:rFonts w:ascii="宋体" w:hAnsi="宋体" w:eastAsia="宋体"/>
                                <w:sz w:val="24"/>
                                <w:szCs w:val="24"/>
                              </w:rPr>
                            </w:pPr>
                            <w:r>
                              <w:rPr>
                                <w:rFonts w:hint="eastAsia" w:ascii="宋体" w:hAnsi="宋体" w:eastAsia="宋体"/>
                                <w:sz w:val="24"/>
                                <w:szCs w:val="24"/>
                              </w:rPr>
                              <w:t>　　　　　　　　　　　　　　　　　　　　　　年   月   日</w:t>
                            </w:r>
                          </w:p>
                        </w:txbxContent>
                      </wps:txbx>
                      <wps:bodyPr wrap="square" upright="1"/>
                    </wps:wsp>
                  </a:graphicData>
                </a:graphic>
              </wp:anchor>
            </w:drawing>
          </mc:Choice>
          <mc:Fallback>
            <w:pict>
              <v:shape id="_x0000_s1026" o:spid="_x0000_s1026" o:spt="202" type="#_x0000_t202" style="position:absolute;left:0pt;margin-left:-10.55pt;margin-top:6.35pt;height:218.4pt;width:468pt;z-index:251659264;mso-width-relative:page;mso-height-relative:page;" fillcolor="#FFFFFF" filled="t" stroked="t" coordsize="21600,21600" o:gfxdata="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kj+1ddkAAAAKAQAADwAAAAAAAAABACAAAAAiAAAAZHJzL2Rvd25y&#10;ZXYueG1sUEsBAhQAFAAAAAgAh07iQAq7+4k2AgAAhQQAAA4AAAAAAAAAAQAgAAAAKAEAAGRycy9l&#10;Mm9Eb2MueG1sUEsFBgAAAAAGAAYAWQEAANAFAAAAAA==&#10;">
                <v:fill on="t" focussize="0,0"/>
                <v:stroke color="#000000" joinstyle="miter"/>
                <v:imagedata o:title=""/>
                <o:lock v:ext="edit" aspectratio="f"/>
                <v:textbox>
                  <w:txbxContent>
                    <w:p w14:paraId="0960DBD7">
                      <w:pPr>
                        <w:spacing w:before="120" w:line="360" w:lineRule="auto"/>
                        <w:rPr>
                          <w:rFonts w:ascii="宋体" w:hAnsi="宋体" w:eastAsia="宋体"/>
                          <w:sz w:val="24"/>
                          <w:szCs w:val="24"/>
                        </w:rPr>
                      </w:pPr>
                      <w:r>
                        <w:rPr>
                          <w:rFonts w:hint="eastAsia" w:ascii="宋体" w:hAnsi="宋体" w:eastAsia="宋体"/>
                          <w:sz w:val="24"/>
                          <w:szCs w:val="24"/>
                          <w:u w:val="single"/>
                        </w:rPr>
                        <w:t xml:space="preserve">                </w:t>
                      </w:r>
                      <w:r>
                        <w:rPr>
                          <w:rFonts w:hint="eastAsia" w:ascii="宋体" w:hAnsi="宋体" w:eastAsia="宋体"/>
                          <w:sz w:val="24"/>
                          <w:szCs w:val="24"/>
                        </w:rPr>
                        <w:t>现任我单位</w:t>
                      </w:r>
                      <w:r>
                        <w:rPr>
                          <w:rFonts w:hint="eastAsia" w:ascii="宋体" w:hAnsi="宋体" w:eastAsia="宋体"/>
                          <w:sz w:val="24"/>
                          <w:szCs w:val="24"/>
                          <w:u w:val="single"/>
                        </w:rPr>
                        <w:t xml:space="preserve">            </w:t>
                      </w:r>
                      <w:r>
                        <w:rPr>
                          <w:rFonts w:hint="eastAsia" w:ascii="宋体" w:hAnsi="宋体" w:eastAsia="宋体"/>
                          <w:sz w:val="24"/>
                          <w:szCs w:val="24"/>
                        </w:rPr>
                        <w:t>职务，为法定代表人（负责人），</w:t>
                      </w:r>
                    </w:p>
                    <w:p w14:paraId="32E3801D">
                      <w:pPr>
                        <w:snapToGrid w:val="0"/>
                        <w:spacing w:line="360" w:lineRule="auto"/>
                        <w:rPr>
                          <w:rFonts w:ascii="宋体" w:hAnsi="宋体" w:eastAsia="宋体"/>
                          <w:sz w:val="24"/>
                          <w:szCs w:val="24"/>
                        </w:rPr>
                      </w:pPr>
                      <w:r>
                        <w:rPr>
                          <w:rFonts w:hint="eastAsia" w:ascii="宋体" w:hAnsi="宋体" w:eastAsia="宋体"/>
                          <w:sz w:val="24"/>
                          <w:szCs w:val="24"/>
                        </w:rPr>
                        <w:t>特此证明。</w:t>
                      </w:r>
                    </w:p>
                    <w:p w14:paraId="4482920B">
                      <w:pPr>
                        <w:snapToGrid w:val="0"/>
                        <w:spacing w:line="360" w:lineRule="auto"/>
                        <w:rPr>
                          <w:rFonts w:ascii="宋体" w:hAnsi="宋体" w:eastAsia="宋体"/>
                          <w:sz w:val="24"/>
                          <w:szCs w:val="24"/>
                          <w:u w:val="single"/>
                        </w:rPr>
                      </w:pPr>
                      <w:r>
                        <w:rPr>
                          <w:rFonts w:hint="eastAsia" w:ascii="宋体" w:hAnsi="宋体" w:eastAsia="宋体"/>
                          <w:sz w:val="24"/>
                          <w:szCs w:val="24"/>
                        </w:rPr>
                        <w:t>有效期限：</w:t>
                      </w:r>
                      <w:r>
                        <w:rPr>
                          <w:rFonts w:hint="eastAsia" w:ascii="宋体" w:hAnsi="宋体" w:eastAsia="宋体"/>
                          <w:sz w:val="24"/>
                          <w:szCs w:val="24"/>
                          <w:u w:val="single"/>
                        </w:rPr>
                        <w:t xml:space="preserve">                                </w:t>
                      </w:r>
                      <w:r>
                        <w:rPr>
                          <w:rFonts w:hint="eastAsia" w:ascii="宋体" w:hAnsi="宋体" w:eastAsia="宋体"/>
                          <w:sz w:val="24"/>
                          <w:szCs w:val="24"/>
                        </w:rPr>
                        <w:t xml:space="preserve">  </w:t>
                      </w:r>
                    </w:p>
                    <w:p w14:paraId="71B4BE1E">
                      <w:pPr>
                        <w:snapToGrid w:val="0"/>
                        <w:spacing w:line="360" w:lineRule="auto"/>
                        <w:rPr>
                          <w:rFonts w:ascii="宋体" w:hAnsi="宋体" w:eastAsia="宋体"/>
                          <w:sz w:val="24"/>
                          <w:szCs w:val="24"/>
                          <w:u w:val="single"/>
                        </w:rPr>
                      </w:pPr>
                      <w:r>
                        <w:rPr>
                          <w:rFonts w:hint="eastAsia" w:ascii="宋体" w:hAnsi="宋体" w:eastAsia="宋体"/>
                          <w:sz w:val="24"/>
                          <w:szCs w:val="24"/>
                        </w:rPr>
                        <w:t>附：法定代表人（负责人）性别：</w:t>
                      </w:r>
                      <w:r>
                        <w:rPr>
                          <w:rFonts w:hint="eastAsia" w:ascii="宋体" w:hAnsi="宋体" w:eastAsia="宋体"/>
                          <w:sz w:val="24"/>
                          <w:szCs w:val="24"/>
                          <w:u w:val="single"/>
                        </w:rPr>
                        <w:t xml:space="preserve">    </w:t>
                      </w:r>
                      <w:r>
                        <w:rPr>
                          <w:rFonts w:hint="eastAsia" w:ascii="宋体" w:hAnsi="宋体" w:eastAsia="宋体"/>
                          <w:sz w:val="24"/>
                          <w:szCs w:val="24"/>
                        </w:rPr>
                        <w:t>年龄：</w:t>
                      </w:r>
                      <w:r>
                        <w:rPr>
                          <w:rFonts w:hint="eastAsia" w:ascii="宋体" w:hAnsi="宋体" w:eastAsia="宋体"/>
                          <w:sz w:val="24"/>
                          <w:szCs w:val="24"/>
                          <w:u w:val="single"/>
                        </w:rPr>
                        <w:t xml:space="preserve">   </w:t>
                      </w:r>
                      <w:r>
                        <w:rPr>
                          <w:rFonts w:hint="eastAsia" w:ascii="宋体" w:hAnsi="宋体" w:eastAsia="宋体"/>
                          <w:sz w:val="24"/>
                          <w:szCs w:val="24"/>
                        </w:rPr>
                        <w:t>身份证号码：</w:t>
                      </w:r>
                      <w:r>
                        <w:rPr>
                          <w:rFonts w:hint="eastAsia" w:ascii="宋体" w:hAnsi="宋体" w:eastAsia="宋体"/>
                          <w:sz w:val="24"/>
                          <w:szCs w:val="24"/>
                          <w:u w:val="single"/>
                        </w:rPr>
                        <w:t xml:space="preserve">         </w:t>
                      </w:r>
                    </w:p>
                    <w:p w14:paraId="2418C656">
                      <w:pPr>
                        <w:snapToGrid w:val="0"/>
                        <w:spacing w:line="360" w:lineRule="auto"/>
                        <w:ind w:firstLine="570"/>
                        <w:rPr>
                          <w:rFonts w:ascii="宋体" w:hAnsi="宋体" w:eastAsia="宋体"/>
                          <w:sz w:val="24"/>
                          <w:szCs w:val="24"/>
                          <w:u w:val="single"/>
                        </w:rPr>
                      </w:pPr>
                      <w:r>
                        <w:rPr>
                          <w:rFonts w:hint="eastAsia" w:ascii="宋体" w:hAnsi="宋体" w:eastAsia="宋体"/>
                          <w:sz w:val="24"/>
                          <w:szCs w:val="24"/>
                        </w:rPr>
                        <w:t>注册号码：</w:t>
                      </w:r>
                      <w:r>
                        <w:rPr>
                          <w:rFonts w:hint="eastAsia" w:ascii="宋体" w:hAnsi="宋体" w:eastAsia="宋体"/>
                          <w:sz w:val="24"/>
                          <w:szCs w:val="24"/>
                          <w:u w:val="single"/>
                        </w:rPr>
                        <w:t xml:space="preserve">                     </w:t>
                      </w:r>
                      <w:r>
                        <w:rPr>
                          <w:rFonts w:hint="eastAsia" w:ascii="宋体" w:hAnsi="宋体" w:eastAsia="宋体"/>
                          <w:sz w:val="24"/>
                          <w:szCs w:val="24"/>
                        </w:rPr>
                        <w:t>企业类型：</w:t>
                      </w:r>
                      <w:r>
                        <w:rPr>
                          <w:rFonts w:hint="eastAsia" w:ascii="宋体" w:hAnsi="宋体" w:eastAsia="宋体"/>
                          <w:sz w:val="24"/>
                          <w:szCs w:val="24"/>
                          <w:u w:val="single"/>
                        </w:rPr>
                        <w:t xml:space="preserve">                   </w:t>
                      </w:r>
                    </w:p>
                    <w:p w14:paraId="1D551404">
                      <w:pPr>
                        <w:snapToGrid w:val="0"/>
                        <w:spacing w:line="360" w:lineRule="auto"/>
                        <w:ind w:firstLine="570"/>
                        <w:rPr>
                          <w:rFonts w:ascii="宋体" w:hAnsi="宋体" w:eastAsia="宋体"/>
                          <w:sz w:val="24"/>
                          <w:szCs w:val="24"/>
                          <w:u w:val="single"/>
                        </w:rPr>
                      </w:pPr>
                      <w:r>
                        <w:rPr>
                          <w:rFonts w:hint="eastAsia" w:ascii="宋体" w:hAnsi="宋体" w:eastAsia="宋体"/>
                          <w:sz w:val="24"/>
                          <w:szCs w:val="24"/>
                        </w:rPr>
                        <w:t>经营范围：</w:t>
                      </w:r>
                      <w:r>
                        <w:rPr>
                          <w:rFonts w:hint="eastAsia" w:ascii="宋体" w:hAnsi="宋体" w:eastAsia="宋体"/>
                          <w:sz w:val="24"/>
                          <w:szCs w:val="24"/>
                          <w:u w:val="single"/>
                        </w:rPr>
                        <w:t xml:space="preserve">                       </w:t>
                      </w:r>
                    </w:p>
                    <w:p w14:paraId="196525C0">
                      <w:pPr>
                        <w:snapToGrid w:val="0"/>
                        <w:spacing w:line="360" w:lineRule="auto"/>
                        <w:ind w:firstLine="570"/>
                        <w:jc w:val="right"/>
                        <w:rPr>
                          <w:rFonts w:ascii="宋体" w:hAnsi="宋体" w:eastAsia="宋体"/>
                          <w:sz w:val="24"/>
                          <w:szCs w:val="24"/>
                        </w:rPr>
                      </w:pPr>
                      <w:r>
                        <w:rPr>
                          <w:rFonts w:hint="eastAsia" w:ascii="宋体" w:hAnsi="宋体" w:eastAsia="宋体"/>
                          <w:sz w:val="24"/>
                          <w:szCs w:val="24"/>
                        </w:rPr>
                        <w:t>单位：            （盖单位章）</w:t>
                      </w:r>
                    </w:p>
                    <w:p w14:paraId="775B1CC1">
                      <w:pPr>
                        <w:snapToGrid w:val="0"/>
                        <w:spacing w:line="360" w:lineRule="auto"/>
                        <w:ind w:firstLine="570"/>
                        <w:jc w:val="center"/>
                        <w:rPr>
                          <w:rFonts w:ascii="宋体" w:hAnsi="宋体" w:eastAsia="宋体"/>
                          <w:sz w:val="24"/>
                          <w:szCs w:val="24"/>
                        </w:rPr>
                      </w:pPr>
                      <w:r>
                        <w:rPr>
                          <w:rFonts w:hint="eastAsia" w:ascii="宋体" w:hAnsi="宋体" w:eastAsia="宋体"/>
                          <w:sz w:val="24"/>
                          <w:szCs w:val="24"/>
                        </w:rPr>
                        <w:t>　　　　　　　　　　　　　　　　　　　　　　年   月   日</w:t>
                      </w:r>
                    </w:p>
                  </w:txbxContent>
                </v:textbox>
              </v:shape>
            </w:pict>
          </mc:Fallback>
        </mc:AlternateContent>
      </w:r>
    </w:p>
    <w:p w14:paraId="78B0A089">
      <w:pPr>
        <w:spacing w:line="360" w:lineRule="auto"/>
        <w:jc w:val="center"/>
        <w:rPr>
          <w:rFonts w:ascii="宋体" w:hAnsi="宋体" w:eastAsia="宋体"/>
          <w:color w:val="auto"/>
          <w:highlight w:val="none"/>
        </w:rPr>
      </w:pPr>
    </w:p>
    <w:p w14:paraId="39A56035">
      <w:pPr>
        <w:spacing w:line="360" w:lineRule="auto"/>
        <w:jc w:val="center"/>
        <w:rPr>
          <w:rFonts w:ascii="宋体" w:hAnsi="宋体" w:eastAsia="宋体"/>
          <w:color w:val="auto"/>
          <w:highlight w:val="none"/>
        </w:rPr>
      </w:pPr>
    </w:p>
    <w:p w14:paraId="287EADDC">
      <w:pPr>
        <w:spacing w:line="360" w:lineRule="auto"/>
        <w:jc w:val="center"/>
        <w:rPr>
          <w:rFonts w:ascii="宋体" w:hAnsi="宋体" w:eastAsia="宋体"/>
          <w:color w:val="auto"/>
          <w:highlight w:val="none"/>
        </w:rPr>
      </w:pPr>
    </w:p>
    <w:p w14:paraId="7659716D">
      <w:pPr>
        <w:spacing w:line="360" w:lineRule="auto"/>
        <w:jc w:val="center"/>
        <w:rPr>
          <w:rFonts w:ascii="宋体" w:hAnsi="宋体" w:eastAsia="宋体"/>
          <w:color w:val="auto"/>
          <w:highlight w:val="none"/>
        </w:rPr>
      </w:pPr>
      <w:r>
        <w:rPr>
          <w:rFonts w:ascii="宋体" w:hAnsi="宋体" w:eastAsia="宋体"/>
          <w:color w:val="auto"/>
          <w:highlight w:val="none"/>
        </w:rPr>
        <w:t xml:space="preserve">   </w:t>
      </w:r>
    </w:p>
    <w:p w14:paraId="5447EBCB">
      <w:pPr>
        <w:spacing w:line="360" w:lineRule="auto"/>
        <w:jc w:val="center"/>
        <w:rPr>
          <w:rFonts w:ascii="宋体" w:hAnsi="宋体" w:eastAsia="宋体"/>
          <w:color w:val="auto"/>
          <w:highlight w:val="none"/>
        </w:rPr>
      </w:pPr>
    </w:p>
    <w:p w14:paraId="472815A7">
      <w:pPr>
        <w:spacing w:line="360" w:lineRule="auto"/>
        <w:jc w:val="center"/>
        <w:rPr>
          <w:rFonts w:ascii="宋体" w:hAnsi="宋体" w:eastAsia="宋体"/>
          <w:color w:val="auto"/>
          <w:highlight w:val="none"/>
        </w:rPr>
      </w:pPr>
    </w:p>
    <w:p w14:paraId="544C466E">
      <w:pPr>
        <w:widowControl/>
        <w:jc w:val="left"/>
        <w:rPr>
          <w:rFonts w:ascii="宋体" w:hAnsi="宋体" w:eastAsia="宋体"/>
          <w:color w:val="auto"/>
          <w:highlight w:val="none"/>
        </w:rPr>
      </w:pPr>
    </w:p>
    <w:p w14:paraId="1D08F7C7">
      <w:pPr>
        <w:spacing w:line="360" w:lineRule="auto"/>
        <w:jc w:val="center"/>
        <w:rPr>
          <w:rFonts w:ascii="宋体" w:hAnsi="宋体" w:eastAsia="宋体"/>
          <w:color w:val="auto"/>
          <w:highlight w:val="none"/>
        </w:rPr>
      </w:pPr>
    </w:p>
    <w:p w14:paraId="60B9DC73">
      <w:pPr>
        <w:spacing w:line="360" w:lineRule="auto"/>
        <w:jc w:val="center"/>
        <w:rPr>
          <w:rFonts w:ascii="宋体" w:hAnsi="宋体" w:eastAsia="宋体"/>
          <w:color w:val="auto"/>
          <w:highlight w:val="none"/>
        </w:rPr>
      </w:pPr>
    </w:p>
    <w:p w14:paraId="4AB60888">
      <w:pPr>
        <w:spacing w:line="360" w:lineRule="auto"/>
        <w:jc w:val="center"/>
        <w:rPr>
          <w:rFonts w:ascii="宋体" w:hAnsi="宋体" w:eastAsia="宋体"/>
          <w:color w:val="auto"/>
          <w:highlight w:val="none"/>
        </w:rPr>
      </w:pPr>
    </w:p>
    <w:p w14:paraId="3364A559">
      <w:pPr>
        <w:jc w:val="center"/>
        <w:rPr>
          <w:rFonts w:ascii="宋体" w:hAnsi="宋体" w:eastAsia="宋体"/>
          <w:color w:val="auto"/>
          <w:highlight w:val="none"/>
        </w:rPr>
      </w:pPr>
    </w:p>
    <w:p w14:paraId="7F6297F1">
      <w:pPr>
        <w:jc w:val="center"/>
        <w:rPr>
          <w:rFonts w:ascii="宋体" w:hAnsi="宋体" w:eastAsia="宋体"/>
          <w:color w:val="auto"/>
          <w:highlight w:val="none"/>
        </w:rPr>
      </w:pPr>
    </w:p>
    <w:p w14:paraId="2CD414CA">
      <w:pPr>
        <w:jc w:val="center"/>
        <w:rPr>
          <w:rFonts w:ascii="宋体" w:hAnsi="宋体" w:eastAsia="宋体"/>
          <w:color w:val="auto"/>
          <w:highlight w:val="none"/>
        </w:rPr>
      </w:pPr>
    </w:p>
    <w:p w14:paraId="013A2DD6">
      <w:pPr>
        <w:jc w:val="center"/>
        <w:rPr>
          <w:rFonts w:ascii="宋体" w:hAnsi="宋体" w:eastAsia="宋体"/>
          <w:color w:val="auto"/>
          <w:highlight w:val="none"/>
        </w:rPr>
      </w:pPr>
    </w:p>
    <w:p w14:paraId="75D071D6">
      <w:pPr>
        <w:jc w:val="center"/>
        <w:rPr>
          <w:rFonts w:ascii="宋体" w:hAnsi="宋体" w:eastAsia="宋体"/>
          <w:color w:val="auto"/>
          <w:highlight w:val="none"/>
        </w:rPr>
      </w:pPr>
      <w:r>
        <w:rPr>
          <w:rFonts w:hint="eastAsia" w:ascii="宋体" w:hAnsi="宋体" w:eastAsia="宋体"/>
          <w:color w:val="auto"/>
          <w:highlight w:val="none"/>
        </w:rPr>
        <w:t>授权委托证明书</w:t>
      </w:r>
    </w:p>
    <w:p w14:paraId="3800991F">
      <w:pPr>
        <w:pStyle w:val="30"/>
        <w:rPr>
          <w:rFonts w:ascii="宋体" w:hAnsi="宋体"/>
          <w:color w:val="auto"/>
          <w:highlight w:val="none"/>
        </w:rPr>
      </w:pPr>
      <w:r>
        <w:rPr>
          <w:rFonts w:ascii="宋体" w:hAnsi="宋体"/>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-133985</wp:posOffset>
                </wp:positionH>
                <wp:positionV relativeFrom="paragraph">
                  <wp:posOffset>133350</wp:posOffset>
                </wp:positionV>
                <wp:extent cx="5943600" cy="2771775"/>
                <wp:effectExtent l="5080" t="4445" r="13970" b="5080"/>
                <wp:wrapNone/>
                <wp:docPr id="23" name="文本框 23"/>
                <wp:cNvGraphicFramePr/>
                <a:graphic xmlns:a="http://schemas.openxmlformats.org/drawingml/2006/main">
                  <a:graphicData uri="http://schemas.microsoft.com/office/word/2010/wordprocessingShape">
                    <wps:wsp>
                      <wps:cNvSpPr txBox="1">
                        <a:spLocks noChangeArrowheads="1"/>
                      </wps:cNvSpPr>
                      <wps:spPr>
                        <a:xfrm>
                          <a:off x="0" y="0"/>
                          <a:ext cx="5943600" cy="277148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6C115761">
                            <w:pPr>
                              <w:spacing w:before="120" w:line="360" w:lineRule="auto"/>
                              <w:ind w:firstLine="560"/>
                              <w:rPr>
                                <w:rFonts w:ascii="宋体" w:hAnsi="宋体" w:eastAsia="宋体"/>
                                <w:sz w:val="24"/>
                                <w:szCs w:val="24"/>
                              </w:rPr>
                            </w:pPr>
                            <w:r>
                              <w:rPr>
                                <w:rFonts w:hint="eastAsia" w:ascii="宋体" w:hAnsi="宋体" w:eastAsia="宋体"/>
                                <w:sz w:val="24"/>
                                <w:szCs w:val="24"/>
                              </w:rPr>
                              <w:t>兹授权</w:t>
                            </w:r>
                            <w:r>
                              <w:rPr>
                                <w:rFonts w:ascii="宋体" w:hAnsi="宋体" w:eastAsia="宋体"/>
                                <w:sz w:val="24"/>
                                <w:szCs w:val="24"/>
                                <w:u w:val="single"/>
                              </w:rPr>
                              <w:t xml:space="preserve">                </w:t>
                            </w:r>
                            <w:r>
                              <w:rPr>
                                <w:rFonts w:hint="eastAsia" w:ascii="宋体" w:hAnsi="宋体" w:eastAsia="宋体"/>
                                <w:sz w:val="24"/>
                                <w:szCs w:val="24"/>
                              </w:rPr>
                              <w:t>为我方委托代理人，其权限是：</w:t>
                            </w:r>
                            <w:r>
                              <w:rPr>
                                <w:rFonts w:ascii="宋体" w:hAnsi="宋体" w:eastAsia="宋体"/>
                                <w:sz w:val="24"/>
                                <w:szCs w:val="24"/>
                                <w:u w:val="single"/>
                              </w:rPr>
                              <w:t xml:space="preserve">          </w:t>
                            </w:r>
                          </w:p>
                          <w:p w14:paraId="26DB71E7">
                            <w:pPr>
                              <w:snapToGrid w:val="0"/>
                              <w:spacing w:line="360" w:lineRule="auto"/>
                              <w:rPr>
                                <w:rFonts w:ascii="宋体" w:hAnsi="宋体" w:eastAsia="宋体"/>
                                <w:sz w:val="24"/>
                                <w:szCs w:val="24"/>
                                <w:u w:val="single"/>
                              </w:rPr>
                            </w:pPr>
                            <w:r>
                              <w:rPr>
                                <w:rFonts w:ascii="宋体" w:hAnsi="宋体" w:eastAsia="宋体"/>
                                <w:sz w:val="24"/>
                                <w:szCs w:val="24"/>
                                <w:u w:val="single"/>
                              </w:rPr>
                              <w:t xml:space="preserve">                                                                </w:t>
                            </w:r>
                          </w:p>
                          <w:p w14:paraId="074FA74C">
                            <w:pPr>
                              <w:snapToGrid w:val="0"/>
                              <w:spacing w:line="360" w:lineRule="auto"/>
                              <w:rPr>
                                <w:rFonts w:ascii="宋体" w:hAnsi="宋体" w:eastAsia="宋体"/>
                                <w:sz w:val="24"/>
                                <w:szCs w:val="24"/>
                                <w:u w:val="single"/>
                              </w:rPr>
                            </w:pPr>
                            <w:r>
                              <w:rPr>
                                <w:rFonts w:hint="eastAsia" w:ascii="宋体" w:hAnsi="宋体" w:eastAsia="宋体"/>
                                <w:sz w:val="24"/>
                                <w:szCs w:val="24"/>
                              </w:rPr>
                              <w:t>有效期限：</w:t>
                            </w:r>
                            <w:r>
                              <w:rPr>
                                <w:rFonts w:ascii="宋体" w:hAnsi="宋体" w:eastAsia="宋体"/>
                                <w:sz w:val="24"/>
                                <w:szCs w:val="24"/>
                                <w:u w:val="single"/>
                              </w:rPr>
                              <w:t xml:space="preserve">                                                      </w:t>
                            </w:r>
                          </w:p>
                          <w:p w14:paraId="1BB83430">
                            <w:pPr>
                              <w:snapToGrid w:val="0"/>
                              <w:spacing w:line="360" w:lineRule="auto"/>
                              <w:rPr>
                                <w:rFonts w:ascii="宋体" w:hAnsi="宋体" w:eastAsia="宋体"/>
                                <w:sz w:val="24"/>
                                <w:szCs w:val="24"/>
                              </w:rPr>
                            </w:pPr>
                            <w:r>
                              <w:rPr>
                                <w:rFonts w:hint="eastAsia" w:ascii="宋体" w:hAnsi="宋体" w:eastAsia="宋体"/>
                                <w:sz w:val="24"/>
                                <w:szCs w:val="24"/>
                              </w:rPr>
                              <w:t>附：代理人性别：</w:t>
                            </w:r>
                            <w:r>
                              <w:rPr>
                                <w:rFonts w:ascii="宋体" w:hAnsi="宋体" w:eastAsia="宋体"/>
                                <w:sz w:val="24"/>
                                <w:szCs w:val="24"/>
                                <w:u w:val="single"/>
                              </w:rPr>
                              <w:t xml:space="preserve">     </w:t>
                            </w:r>
                            <w:r>
                              <w:rPr>
                                <w:rFonts w:hint="eastAsia" w:ascii="宋体" w:hAnsi="宋体" w:eastAsia="宋体"/>
                                <w:sz w:val="24"/>
                                <w:szCs w:val="24"/>
                              </w:rPr>
                              <w:t>年龄：</w:t>
                            </w:r>
                            <w:r>
                              <w:rPr>
                                <w:rFonts w:ascii="宋体" w:hAnsi="宋体" w:eastAsia="宋体"/>
                                <w:sz w:val="24"/>
                                <w:szCs w:val="24"/>
                                <w:u w:val="single"/>
                              </w:rPr>
                              <w:t xml:space="preserve">     </w:t>
                            </w:r>
                            <w:r>
                              <w:rPr>
                                <w:rFonts w:hint="eastAsia" w:ascii="宋体" w:hAnsi="宋体" w:eastAsia="宋体"/>
                                <w:sz w:val="24"/>
                                <w:szCs w:val="24"/>
                              </w:rPr>
                              <w:t>身份证号码：</w:t>
                            </w:r>
                            <w:r>
                              <w:rPr>
                                <w:rFonts w:ascii="宋体" w:hAnsi="宋体" w:eastAsia="宋体"/>
                                <w:sz w:val="24"/>
                                <w:szCs w:val="24"/>
                                <w:u w:val="single"/>
                              </w:rPr>
                              <w:t xml:space="preserve">                    </w:t>
                            </w:r>
                          </w:p>
                          <w:p w14:paraId="5C317985">
                            <w:pPr>
                              <w:snapToGrid w:val="0"/>
                              <w:spacing w:line="360" w:lineRule="auto"/>
                              <w:ind w:firstLine="560"/>
                              <w:rPr>
                                <w:rFonts w:ascii="宋体" w:hAnsi="宋体" w:eastAsia="宋体"/>
                                <w:sz w:val="24"/>
                                <w:szCs w:val="24"/>
                                <w:u w:val="single"/>
                              </w:rPr>
                            </w:pPr>
                            <w:r>
                              <w:rPr>
                                <w:rFonts w:hint="eastAsia" w:ascii="宋体" w:hAnsi="宋体" w:eastAsia="宋体"/>
                                <w:sz w:val="24"/>
                                <w:szCs w:val="24"/>
                              </w:rPr>
                              <w:t>注册号码：</w:t>
                            </w:r>
                            <w:r>
                              <w:rPr>
                                <w:rFonts w:ascii="宋体" w:hAnsi="宋体" w:eastAsia="宋体"/>
                                <w:sz w:val="24"/>
                                <w:szCs w:val="24"/>
                                <w:u w:val="single"/>
                              </w:rPr>
                              <w:t xml:space="preserve">                  </w:t>
                            </w:r>
                            <w:r>
                              <w:rPr>
                                <w:rFonts w:hint="eastAsia" w:ascii="宋体" w:hAnsi="宋体" w:eastAsia="宋体"/>
                                <w:sz w:val="24"/>
                                <w:szCs w:val="24"/>
                              </w:rPr>
                              <w:t>企业类型：</w:t>
                            </w:r>
                            <w:r>
                              <w:rPr>
                                <w:rFonts w:ascii="宋体" w:hAnsi="宋体" w:eastAsia="宋体"/>
                                <w:sz w:val="24"/>
                                <w:szCs w:val="24"/>
                                <w:u w:val="single"/>
                              </w:rPr>
                              <w:t xml:space="preserve">                      </w:t>
                            </w:r>
                          </w:p>
                          <w:p w14:paraId="72A97762">
                            <w:pPr>
                              <w:snapToGrid w:val="0"/>
                              <w:spacing w:line="360" w:lineRule="auto"/>
                              <w:ind w:firstLine="560"/>
                              <w:rPr>
                                <w:rFonts w:ascii="宋体" w:hAnsi="宋体" w:eastAsia="宋体"/>
                                <w:sz w:val="24"/>
                                <w:szCs w:val="24"/>
                                <w:u w:val="single"/>
                              </w:rPr>
                            </w:pPr>
                            <w:r>
                              <w:rPr>
                                <w:rFonts w:hint="eastAsia" w:ascii="宋体" w:hAnsi="宋体" w:eastAsia="宋体"/>
                                <w:sz w:val="24"/>
                                <w:szCs w:val="24"/>
                              </w:rPr>
                              <w:t>经营范围：</w:t>
                            </w:r>
                            <w:r>
                              <w:rPr>
                                <w:rFonts w:ascii="宋体" w:hAnsi="宋体" w:eastAsia="宋体"/>
                                <w:sz w:val="24"/>
                                <w:szCs w:val="24"/>
                                <w:u w:val="single"/>
                              </w:rPr>
                              <w:t xml:space="preserve">                                                  </w:t>
                            </w:r>
                          </w:p>
                          <w:p w14:paraId="227D9791">
                            <w:pPr>
                              <w:snapToGrid w:val="0"/>
                              <w:spacing w:line="360" w:lineRule="auto"/>
                              <w:ind w:firstLine="560"/>
                              <w:rPr>
                                <w:rFonts w:ascii="宋体" w:hAnsi="宋体" w:eastAsia="宋体"/>
                                <w:sz w:val="24"/>
                                <w:szCs w:val="24"/>
                              </w:rPr>
                            </w:pPr>
                            <w:r>
                              <w:rPr>
                                <w:rFonts w:hint="eastAsia" w:ascii="宋体" w:hAnsi="宋体" w:eastAsia="宋体"/>
                                <w:sz w:val="24"/>
                                <w:szCs w:val="24"/>
                              </w:rPr>
                              <w:t>法定代表人（负责人）：</w:t>
                            </w:r>
                            <w:r>
                              <w:rPr>
                                <w:rFonts w:ascii="宋体" w:hAnsi="宋体" w:eastAsia="宋体"/>
                                <w:sz w:val="24"/>
                                <w:szCs w:val="24"/>
                                <w:u w:val="single"/>
                              </w:rPr>
                              <w:t xml:space="preserve">                 </w:t>
                            </w:r>
                            <w:r>
                              <w:rPr>
                                <w:rFonts w:hint="eastAsia" w:ascii="宋体" w:hAnsi="宋体" w:eastAsia="宋体"/>
                                <w:sz w:val="24"/>
                                <w:szCs w:val="24"/>
                              </w:rPr>
                              <w:t>（签字</w:t>
                            </w:r>
                            <w:r>
                              <w:rPr>
                                <w:rFonts w:hint="eastAsia" w:ascii="宋体" w:hAnsi="宋体" w:eastAsia="宋体"/>
                                <w:color w:val="000000"/>
                                <w:sz w:val="24"/>
                                <w:szCs w:val="24"/>
                              </w:rPr>
                              <w:t>或盖章</w:t>
                            </w:r>
                            <w:r>
                              <w:rPr>
                                <w:rFonts w:hint="eastAsia" w:ascii="宋体" w:hAnsi="宋体" w:eastAsia="宋体"/>
                                <w:sz w:val="24"/>
                                <w:szCs w:val="24"/>
                              </w:rPr>
                              <w:t>）</w:t>
                            </w:r>
                          </w:p>
                          <w:p w14:paraId="0427CEEC">
                            <w:pPr>
                              <w:snapToGrid w:val="0"/>
                              <w:spacing w:line="360" w:lineRule="auto"/>
                              <w:ind w:firstLine="560"/>
                              <w:rPr>
                                <w:rFonts w:ascii="宋体" w:hAnsi="宋体" w:eastAsia="宋体"/>
                                <w:sz w:val="24"/>
                                <w:szCs w:val="24"/>
                              </w:rPr>
                            </w:pPr>
                            <w:r>
                              <w:rPr>
                                <w:rFonts w:hint="eastAsia" w:ascii="宋体" w:hAnsi="宋体" w:eastAsia="宋体"/>
                                <w:sz w:val="24"/>
                                <w:szCs w:val="24"/>
                              </w:rPr>
                              <w:t>授权单位：（盖单位章）</w:t>
                            </w:r>
                            <w:r>
                              <w:rPr>
                                <w:rFonts w:ascii="宋体" w:hAnsi="宋体" w:eastAsia="宋体"/>
                                <w:sz w:val="24"/>
                                <w:szCs w:val="24"/>
                                <w:u w:val="single"/>
                              </w:rPr>
                              <w:t xml:space="preserve">                     </w:t>
                            </w:r>
                            <w:r>
                              <w:rPr>
                                <w:rFonts w:ascii="宋体" w:hAnsi="宋体" w:eastAsia="宋体"/>
                                <w:sz w:val="24"/>
                                <w:szCs w:val="24"/>
                              </w:rPr>
                              <w:t xml:space="preserve"> </w:t>
                            </w:r>
                          </w:p>
                          <w:p w14:paraId="18AF016B">
                            <w:pPr>
                              <w:spacing w:line="360" w:lineRule="auto"/>
                              <w:ind w:firstLine="7000"/>
                              <w:rPr>
                                <w:rFonts w:ascii="宋体" w:hAnsi="宋体" w:eastAsia="宋体"/>
                                <w:sz w:val="24"/>
                                <w:szCs w:val="24"/>
                              </w:rPr>
                            </w:pPr>
                            <w:r>
                              <w:rPr>
                                <w:rFonts w:hint="eastAsia" w:ascii="宋体" w:hAnsi="宋体" w:eastAsia="宋体"/>
                                <w:sz w:val="24"/>
                                <w:szCs w:val="24"/>
                              </w:rPr>
                              <w:t>年</w:t>
                            </w:r>
                            <w:r>
                              <w:rPr>
                                <w:rFonts w:ascii="宋体" w:hAnsi="宋体" w:eastAsia="宋体"/>
                                <w:sz w:val="24"/>
                                <w:szCs w:val="24"/>
                              </w:rPr>
                              <w:t xml:space="preserve">  </w:t>
                            </w:r>
                            <w:r>
                              <w:rPr>
                                <w:rFonts w:hint="eastAsia" w:ascii="宋体" w:hAnsi="宋体" w:eastAsia="宋体"/>
                                <w:sz w:val="24"/>
                                <w:szCs w:val="24"/>
                              </w:rPr>
                              <w:t>月</w:t>
                            </w:r>
                            <w:r>
                              <w:rPr>
                                <w:rFonts w:ascii="宋体" w:hAnsi="宋体" w:eastAsia="宋体"/>
                                <w:sz w:val="24"/>
                                <w:szCs w:val="24"/>
                              </w:rPr>
                              <w:t xml:space="preserve">   </w:t>
                            </w:r>
                            <w:r>
                              <w:rPr>
                                <w:rFonts w:hint="eastAsia" w:ascii="宋体" w:hAnsi="宋体" w:eastAsia="宋体"/>
                                <w:sz w:val="24"/>
                                <w:szCs w:val="24"/>
                              </w:rPr>
                              <w:t>日</w:t>
                            </w:r>
                          </w:p>
                        </w:txbxContent>
                      </wps:txbx>
                      <wps:bodyPr wrap="square" upright="1">
                        <a:noAutofit/>
                      </wps:bodyPr>
                    </wps:wsp>
                  </a:graphicData>
                </a:graphic>
              </wp:anchor>
            </w:drawing>
          </mc:Choice>
          <mc:Fallback>
            <w:pict>
              <v:shape id="_x0000_s1026" o:spid="_x0000_s1026" o:spt="202" type="#_x0000_t202" style="position:absolute;left:0pt;margin-left:-10.55pt;margin-top:10.5pt;height:218.25pt;width:468pt;z-index:251660288;mso-width-relative:page;mso-height-relative:page;" fillcolor="#FFFFFF" filled="t" stroked="t" coordsize="21600,21600" o:gfxdata="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CiC1lnaAAAACgEAAA8AAAAAAAAAAQAgAAAA&#10;IgAAAGRycy9kb3ducmV2LnhtbFBLAQIUABQAAAAIAIdO4kCvtiujQgIAAJ8EAAAOAAAAAAAAAAEA&#10;IAAAACkBAABkcnMvZTJvRG9jLnhtbFBLBQYAAAAABgAGAFkBAADdBQAAAAA=&#10;">
                <v:fill on="t" focussize="0,0"/>
                <v:stroke color="#000000" joinstyle="miter"/>
                <v:imagedata o:title=""/>
                <o:lock v:ext="edit" aspectratio="f"/>
                <v:textbox>
                  <w:txbxContent>
                    <w:p w14:paraId="6C115761">
                      <w:pPr>
                        <w:spacing w:before="120" w:line="360" w:lineRule="auto"/>
                        <w:ind w:firstLine="560"/>
                        <w:rPr>
                          <w:rFonts w:ascii="宋体" w:hAnsi="宋体" w:eastAsia="宋体"/>
                          <w:sz w:val="24"/>
                          <w:szCs w:val="24"/>
                        </w:rPr>
                      </w:pPr>
                      <w:r>
                        <w:rPr>
                          <w:rFonts w:hint="eastAsia" w:ascii="宋体" w:hAnsi="宋体" w:eastAsia="宋体"/>
                          <w:sz w:val="24"/>
                          <w:szCs w:val="24"/>
                        </w:rPr>
                        <w:t>兹授权</w:t>
                      </w:r>
                      <w:r>
                        <w:rPr>
                          <w:rFonts w:ascii="宋体" w:hAnsi="宋体" w:eastAsia="宋体"/>
                          <w:sz w:val="24"/>
                          <w:szCs w:val="24"/>
                          <w:u w:val="single"/>
                        </w:rPr>
                        <w:t xml:space="preserve">                </w:t>
                      </w:r>
                      <w:r>
                        <w:rPr>
                          <w:rFonts w:hint="eastAsia" w:ascii="宋体" w:hAnsi="宋体" w:eastAsia="宋体"/>
                          <w:sz w:val="24"/>
                          <w:szCs w:val="24"/>
                        </w:rPr>
                        <w:t>为我方委托代理人，其权限是：</w:t>
                      </w:r>
                      <w:r>
                        <w:rPr>
                          <w:rFonts w:ascii="宋体" w:hAnsi="宋体" w:eastAsia="宋体"/>
                          <w:sz w:val="24"/>
                          <w:szCs w:val="24"/>
                          <w:u w:val="single"/>
                        </w:rPr>
                        <w:t xml:space="preserve">          </w:t>
                      </w:r>
                    </w:p>
                    <w:p w14:paraId="26DB71E7">
                      <w:pPr>
                        <w:snapToGrid w:val="0"/>
                        <w:spacing w:line="360" w:lineRule="auto"/>
                        <w:rPr>
                          <w:rFonts w:ascii="宋体" w:hAnsi="宋体" w:eastAsia="宋体"/>
                          <w:sz w:val="24"/>
                          <w:szCs w:val="24"/>
                          <w:u w:val="single"/>
                        </w:rPr>
                      </w:pPr>
                      <w:r>
                        <w:rPr>
                          <w:rFonts w:ascii="宋体" w:hAnsi="宋体" w:eastAsia="宋体"/>
                          <w:sz w:val="24"/>
                          <w:szCs w:val="24"/>
                          <w:u w:val="single"/>
                        </w:rPr>
                        <w:t xml:space="preserve">                                                                </w:t>
                      </w:r>
                    </w:p>
                    <w:p w14:paraId="074FA74C">
                      <w:pPr>
                        <w:snapToGrid w:val="0"/>
                        <w:spacing w:line="360" w:lineRule="auto"/>
                        <w:rPr>
                          <w:rFonts w:ascii="宋体" w:hAnsi="宋体" w:eastAsia="宋体"/>
                          <w:sz w:val="24"/>
                          <w:szCs w:val="24"/>
                          <w:u w:val="single"/>
                        </w:rPr>
                      </w:pPr>
                      <w:r>
                        <w:rPr>
                          <w:rFonts w:hint="eastAsia" w:ascii="宋体" w:hAnsi="宋体" w:eastAsia="宋体"/>
                          <w:sz w:val="24"/>
                          <w:szCs w:val="24"/>
                        </w:rPr>
                        <w:t>有效期限：</w:t>
                      </w:r>
                      <w:r>
                        <w:rPr>
                          <w:rFonts w:ascii="宋体" w:hAnsi="宋体" w:eastAsia="宋体"/>
                          <w:sz w:val="24"/>
                          <w:szCs w:val="24"/>
                          <w:u w:val="single"/>
                        </w:rPr>
                        <w:t xml:space="preserve">                                                      </w:t>
                      </w:r>
                    </w:p>
                    <w:p w14:paraId="1BB83430">
                      <w:pPr>
                        <w:snapToGrid w:val="0"/>
                        <w:spacing w:line="360" w:lineRule="auto"/>
                        <w:rPr>
                          <w:rFonts w:ascii="宋体" w:hAnsi="宋体" w:eastAsia="宋体"/>
                          <w:sz w:val="24"/>
                          <w:szCs w:val="24"/>
                        </w:rPr>
                      </w:pPr>
                      <w:r>
                        <w:rPr>
                          <w:rFonts w:hint="eastAsia" w:ascii="宋体" w:hAnsi="宋体" w:eastAsia="宋体"/>
                          <w:sz w:val="24"/>
                          <w:szCs w:val="24"/>
                        </w:rPr>
                        <w:t>附：代理人性别：</w:t>
                      </w:r>
                      <w:r>
                        <w:rPr>
                          <w:rFonts w:ascii="宋体" w:hAnsi="宋体" w:eastAsia="宋体"/>
                          <w:sz w:val="24"/>
                          <w:szCs w:val="24"/>
                          <w:u w:val="single"/>
                        </w:rPr>
                        <w:t xml:space="preserve">     </w:t>
                      </w:r>
                      <w:r>
                        <w:rPr>
                          <w:rFonts w:hint="eastAsia" w:ascii="宋体" w:hAnsi="宋体" w:eastAsia="宋体"/>
                          <w:sz w:val="24"/>
                          <w:szCs w:val="24"/>
                        </w:rPr>
                        <w:t>年龄：</w:t>
                      </w:r>
                      <w:r>
                        <w:rPr>
                          <w:rFonts w:ascii="宋体" w:hAnsi="宋体" w:eastAsia="宋体"/>
                          <w:sz w:val="24"/>
                          <w:szCs w:val="24"/>
                          <w:u w:val="single"/>
                        </w:rPr>
                        <w:t xml:space="preserve">     </w:t>
                      </w:r>
                      <w:r>
                        <w:rPr>
                          <w:rFonts w:hint="eastAsia" w:ascii="宋体" w:hAnsi="宋体" w:eastAsia="宋体"/>
                          <w:sz w:val="24"/>
                          <w:szCs w:val="24"/>
                        </w:rPr>
                        <w:t>身份证号码：</w:t>
                      </w:r>
                      <w:r>
                        <w:rPr>
                          <w:rFonts w:ascii="宋体" w:hAnsi="宋体" w:eastAsia="宋体"/>
                          <w:sz w:val="24"/>
                          <w:szCs w:val="24"/>
                          <w:u w:val="single"/>
                        </w:rPr>
                        <w:t xml:space="preserve">                    </w:t>
                      </w:r>
                    </w:p>
                    <w:p w14:paraId="5C317985">
                      <w:pPr>
                        <w:snapToGrid w:val="0"/>
                        <w:spacing w:line="360" w:lineRule="auto"/>
                        <w:ind w:firstLine="560"/>
                        <w:rPr>
                          <w:rFonts w:ascii="宋体" w:hAnsi="宋体" w:eastAsia="宋体"/>
                          <w:sz w:val="24"/>
                          <w:szCs w:val="24"/>
                          <w:u w:val="single"/>
                        </w:rPr>
                      </w:pPr>
                      <w:r>
                        <w:rPr>
                          <w:rFonts w:hint="eastAsia" w:ascii="宋体" w:hAnsi="宋体" w:eastAsia="宋体"/>
                          <w:sz w:val="24"/>
                          <w:szCs w:val="24"/>
                        </w:rPr>
                        <w:t>注册号码：</w:t>
                      </w:r>
                      <w:r>
                        <w:rPr>
                          <w:rFonts w:ascii="宋体" w:hAnsi="宋体" w:eastAsia="宋体"/>
                          <w:sz w:val="24"/>
                          <w:szCs w:val="24"/>
                          <w:u w:val="single"/>
                        </w:rPr>
                        <w:t xml:space="preserve">                  </w:t>
                      </w:r>
                      <w:r>
                        <w:rPr>
                          <w:rFonts w:hint="eastAsia" w:ascii="宋体" w:hAnsi="宋体" w:eastAsia="宋体"/>
                          <w:sz w:val="24"/>
                          <w:szCs w:val="24"/>
                        </w:rPr>
                        <w:t>企业类型：</w:t>
                      </w:r>
                      <w:r>
                        <w:rPr>
                          <w:rFonts w:ascii="宋体" w:hAnsi="宋体" w:eastAsia="宋体"/>
                          <w:sz w:val="24"/>
                          <w:szCs w:val="24"/>
                          <w:u w:val="single"/>
                        </w:rPr>
                        <w:t xml:space="preserve">                      </w:t>
                      </w:r>
                    </w:p>
                    <w:p w14:paraId="72A97762">
                      <w:pPr>
                        <w:snapToGrid w:val="0"/>
                        <w:spacing w:line="360" w:lineRule="auto"/>
                        <w:ind w:firstLine="560"/>
                        <w:rPr>
                          <w:rFonts w:ascii="宋体" w:hAnsi="宋体" w:eastAsia="宋体"/>
                          <w:sz w:val="24"/>
                          <w:szCs w:val="24"/>
                          <w:u w:val="single"/>
                        </w:rPr>
                      </w:pPr>
                      <w:r>
                        <w:rPr>
                          <w:rFonts w:hint="eastAsia" w:ascii="宋体" w:hAnsi="宋体" w:eastAsia="宋体"/>
                          <w:sz w:val="24"/>
                          <w:szCs w:val="24"/>
                        </w:rPr>
                        <w:t>经营范围：</w:t>
                      </w:r>
                      <w:r>
                        <w:rPr>
                          <w:rFonts w:ascii="宋体" w:hAnsi="宋体" w:eastAsia="宋体"/>
                          <w:sz w:val="24"/>
                          <w:szCs w:val="24"/>
                          <w:u w:val="single"/>
                        </w:rPr>
                        <w:t xml:space="preserve">                                                  </w:t>
                      </w:r>
                    </w:p>
                    <w:p w14:paraId="227D9791">
                      <w:pPr>
                        <w:snapToGrid w:val="0"/>
                        <w:spacing w:line="360" w:lineRule="auto"/>
                        <w:ind w:firstLine="560"/>
                        <w:rPr>
                          <w:rFonts w:ascii="宋体" w:hAnsi="宋体" w:eastAsia="宋体"/>
                          <w:sz w:val="24"/>
                          <w:szCs w:val="24"/>
                        </w:rPr>
                      </w:pPr>
                      <w:r>
                        <w:rPr>
                          <w:rFonts w:hint="eastAsia" w:ascii="宋体" w:hAnsi="宋体" w:eastAsia="宋体"/>
                          <w:sz w:val="24"/>
                          <w:szCs w:val="24"/>
                        </w:rPr>
                        <w:t>法定代表人（负责人）：</w:t>
                      </w:r>
                      <w:r>
                        <w:rPr>
                          <w:rFonts w:ascii="宋体" w:hAnsi="宋体" w:eastAsia="宋体"/>
                          <w:sz w:val="24"/>
                          <w:szCs w:val="24"/>
                          <w:u w:val="single"/>
                        </w:rPr>
                        <w:t xml:space="preserve">                 </w:t>
                      </w:r>
                      <w:r>
                        <w:rPr>
                          <w:rFonts w:hint="eastAsia" w:ascii="宋体" w:hAnsi="宋体" w:eastAsia="宋体"/>
                          <w:sz w:val="24"/>
                          <w:szCs w:val="24"/>
                        </w:rPr>
                        <w:t>（签字</w:t>
                      </w:r>
                      <w:r>
                        <w:rPr>
                          <w:rFonts w:hint="eastAsia" w:ascii="宋体" w:hAnsi="宋体" w:eastAsia="宋体"/>
                          <w:color w:val="000000"/>
                          <w:sz w:val="24"/>
                          <w:szCs w:val="24"/>
                        </w:rPr>
                        <w:t>或盖章</w:t>
                      </w:r>
                      <w:r>
                        <w:rPr>
                          <w:rFonts w:hint="eastAsia" w:ascii="宋体" w:hAnsi="宋体" w:eastAsia="宋体"/>
                          <w:sz w:val="24"/>
                          <w:szCs w:val="24"/>
                        </w:rPr>
                        <w:t>）</w:t>
                      </w:r>
                    </w:p>
                    <w:p w14:paraId="0427CEEC">
                      <w:pPr>
                        <w:snapToGrid w:val="0"/>
                        <w:spacing w:line="360" w:lineRule="auto"/>
                        <w:ind w:firstLine="560"/>
                        <w:rPr>
                          <w:rFonts w:ascii="宋体" w:hAnsi="宋体" w:eastAsia="宋体"/>
                          <w:sz w:val="24"/>
                          <w:szCs w:val="24"/>
                        </w:rPr>
                      </w:pPr>
                      <w:r>
                        <w:rPr>
                          <w:rFonts w:hint="eastAsia" w:ascii="宋体" w:hAnsi="宋体" w:eastAsia="宋体"/>
                          <w:sz w:val="24"/>
                          <w:szCs w:val="24"/>
                        </w:rPr>
                        <w:t>授权单位：（盖单位章）</w:t>
                      </w:r>
                      <w:r>
                        <w:rPr>
                          <w:rFonts w:ascii="宋体" w:hAnsi="宋体" w:eastAsia="宋体"/>
                          <w:sz w:val="24"/>
                          <w:szCs w:val="24"/>
                          <w:u w:val="single"/>
                        </w:rPr>
                        <w:t xml:space="preserve">                     </w:t>
                      </w:r>
                      <w:r>
                        <w:rPr>
                          <w:rFonts w:ascii="宋体" w:hAnsi="宋体" w:eastAsia="宋体"/>
                          <w:sz w:val="24"/>
                          <w:szCs w:val="24"/>
                        </w:rPr>
                        <w:t xml:space="preserve"> </w:t>
                      </w:r>
                    </w:p>
                    <w:p w14:paraId="18AF016B">
                      <w:pPr>
                        <w:spacing w:line="360" w:lineRule="auto"/>
                        <w:ind w:firstLine="7000"/>
                        <w:rPr>
                          <w:rFonts w:ascii="宋体" w:hAnsi="宋体" w:eastAsia="宋体"/>
                          <w:sz w:val="24"/>
                          <w:szCs w:val="24"/>
                        </w:rPr>
                      </w:pPr>
                      <w:r>
                        <w:rPr>
                          <w:rFonts w:hint="eastAsia" w:ascii="宋体" w:hAnsi="宋体" w:eastAsia="宋体"/>
                          <w:sz w:val="24"/>
                          <w:szCs w:val="24"/>
                        </w:rPr>
                        <w:t>年</w:t>
                      </w:r>
                      <w:r>
                        <w:rPr>
                          <w:rFonts w:ascii="宋体" w:hAnsi="宋体" w:eastAsia="宋体"/>
                          <w:sz w:val="24"/>
                          <w:szCs w:val="24"/>
                        </w:rPr>
                        <w:t xml:space="preserve">  </w:t>
                      </w:r>
                      <w:r>
                        <w:rPr>
                          <w:rFonts w:hint="eastAsia" w:ascii="宋体" w:hAnsi="宋体" w:eastAsia="宋体"/>
                          <w:sz w:val="24"/>
                          <w:szCs w:val="24"/>
                        </w:rPr>
                        <w:t>月</w:t>
                      </w:r>
                      <w:r>
                        <w:rPr>
                          <w:rFonts w:ascii="宋体" w:hAnsi="宋体" w:eastAsia="宋体"/>
                          <w:sz w:val="24"/>
                          <w:szCs w:val="24"/>
                        </w:rPr>
                        <w:t xml:space="preserve">   </w:t>
                      </w:r>
                      <w:r>
                        <w:rPr>
                          <w:rFonts w:hint="eastAsia" w:ascii="宋体" w:hAnsi="宋体" w:eastAsia="宋体"/>
                          <w:sz w:val="24"/>
                          <w:szCs w:val="24"/>
                        </w:rPr>
                        <w:t>日</w:t>
                      </w:r>
                    </w:p>
                  </w:txbxContent>
                </v:textbox>
              </v:shape>
            </w:pict>
          </mc:Fallback>
        </mc:AlternateContent>
      </w:r>
    </w:p>
    <w:p w14:paraId="5F497186">
      <w:pPr>
        <w:pStyle w:val="30"/>
        <w:rPr>
          <w:rFonts w:ascii="宋体" w:hAnsi="宋体"/>
          <w:color w:val="auto"/>
          <w:highlight w:val="none"/>
        </w:rPr>
      </w:pPr>
    </w:p>
    <w:p w14:paraId="37B9DA8E">
      <w:pPr>
        <w:pStyle w:val="30"/>
        <w:rPr>
          <w:rFonts w:ascii="宋体" w:hAnsi="宋体"/>
          <w:color w:val="auto"/>
          <w:highlight w:val="none"/>
        </w:rPr>
      </w:pPr>
    </w:p>
    <w:p w14:paraId="19EC6726">
      <w:pPr>
        <w:pStyle w:val="30"/>
        <w:rPr>
          <w:rFonts w:ascii="宋体" w:hAnsi="宋体"/>
          <w:color w:val="auto"/>
          <w:highlight w:val="none"/>
        </w:rPr>
      </w:pPr>
    </w:p>
    <w:p w14:paraId="4FA9B04E">
      <w:pPr>
        <w:pStyle w:val="30"/>
        <w:rPr>
          <w:rFonts w:ascii="宋体" w:hAnsi="宋体"/>
          <w:color w:val="auto"/>
          <w:highlight w:val="none"/>
        </w:rPr>
      </w:pPr>
    </w:p>
    <w:p w14:paraId="7C265939">
      <w:pPr>
        <w:pStyle w:val="30"/>
        <w:rPr>
          <w:rFonts w:ascii="宋体" w:hAnsi="宋体"/>
          <w:color w:val="auto"/>
          <w:highlight w:val="none"/>
        </w:rPr>
      </w:pPr>
    </w:p>
    <w:p w14:paraId="2C72536B">
      <w:pPr>
        <w:spacing w:line="360" w:lineRule="auto"/>
        <w:jc w:val="left"/>
        <w:rPr>
          <w:rFonts w:ascii="宋体" w:hAnsi="宋体" w:eastAsia="宋体"/>
          <w:color w:val="auto"/>
          <w:highlight w:val="none"/>
        </w:rPr>
      </w:pPr>
    </w:p>
    <w:p w14:paraId="4223E0E0">
      <w:pPr>
        <w:spacing w:line="360" w:lineRule="auto"/>
        <w:jc w:val="left"/>
        <w:rPr>
          <w:rFonts w:ascii="宋体" w:hAnsi="宋体" w:eastAsia="宋体"/>
          <w:color w:val="auto"/>
          <w:highlight w:val="none"/>
        </w:rPr>
      </w:pPr>
    </w:p>
    <w:p w14:paraId="35F88BEB">
      <w:pPr>
        <w:spacing w:line="360" w:lineRule="auto"/>
        <w:jc w:val="left"/>
        <w:rPr>
          <w:rFonts w:ascii="宋体" w:hAnsi="宋体" w:eastAsia="宋体"/>
          <w:color w:val="auto"/>
          <w:highlight w:val="none"/>
        </w:rPr>
      </w:pPr>
    </w:p>
    <w:p w14:paraId="7F380DCF">
      <w:pPr>
        <w:spacing w:line="360" w:lineRule="auto"/>
        <w:jc w:val="left"/>
        <w:rPr>
          <w:rFonts w:ascii="宋体" w:hAnsi="宋体" w:eastAsia="宋体"/>
          <w:color w:val="auto"/>
          <w:highlight w:val="none"/>
        </w:rPr>
      </w:pPr>
    </w:p>
    <w:p w14:paraId="052130DF">
      <w:pPr>
        <w:spacing w:line="360" w:lineRule="auto"/>
        <w:jc w:val="left"/>
        <w:rPr>
          <w:rFonts w:ascii="宋体" w:hAnsi="宋体" w:eastAsia="宋体"/>
          <w:color w:val="auto"/>
          <w:highlight w:val="none"/>
        </w:rPr>
      </w:pPr>
    </w:p>
    <w:p w14:paraId="7033E6CE">
      <w:pPr>
        <w:spacing w:line="360" w:lineRule="auto"/>
        <w:jc w:val="left"/>
        <w:rPr>
          <w:rFonts w:ascii="宋体" w:hAnsi="宋体" w:eastAsia="宋体"/>
          <w:color w:val="auto"/>
          <w:highlight w:val="none"/>
        </w:rPr>
      </w:pPr>
      <w:r>
        <w:rPr>
          <w:rFonts w:hint="eastAsia" w:ascii="宋体" w:hAnsi="宋体" w:eastAsia="宋体"/>
          <w:color w:val="auto"/>
          <w:highlight w:val="none"/>
        </w:rPr>
        <w:t>备注：也可使用工商管理部门的格式填写。</w:t>
      </w:r>
    </w:p>
    <w:p w14:paraId="11E48BEF">
      <w:pPr>
        <w:widowControl/>
        <w:jc w:val="left"/>
        <w:rPr>
          <w:rFonts w:ascii="宋体" w:hAnsi="宋体" w:eastAsia="宋体"/>
          <w:color w:val="auto"/>
          <w:highlight w:val="none"/>
        </w:rPr>
      </w:pPr>
      <w:r>
        <w:rPr>
          <w:rFonts w:ascii="宋体" w:hAnsi="宋体" w:eastAsia="宋体"/>
          <w:color w:val="auto"/>
          <w:highlight w:val="none"/>
        </w:rPr>
        <w:br w:type="page"/>
      </w:r>
    </w:p>
    <w:p w14:paraId="2EEE874D">
      <w:pPr>
        <w:pStyle w:val="3"/>
        <w:rPr>
          <w:color w:val="auto"/>
          <w:highlight w:val="none"/>
        </w:rPr>
      </w:pPr>
      <w:bookmarkStart w:id="532" w:name="_Toc2920"/>
      <w:bookmarkStart w:id="533" w:name="_Toc138236401"/>
      <w:r>
        <w:rPr>
          <w:rFonts w:hint="eastAsia"/>
          <w:color w:val="auto"/>
          <w:highlight w:val="none"/>
          <w:lang w:val="en-US" w:eastAsia="zh-CN"/>
        </w:rPr>
        <w:t>三</w:t>
      </w:r>
      <w:r>
        <w:rPr>
          <w:rFonts w:hint="eastAsia"/>
          <w:color w:val="auto"/>
          <w:highlight w:val="none"/>
        </w:rPr>
        <w:t>、投标报价表</w:t>
      </w:r>
      <w:bookmarkEnd w:id="532"/>
      <w:bookmarkEnd w:id="533"/>
    </w:p>
    <w:tbl>
      <w:tblPr>
        <w:tblStyle w:val="32"/>
        <w:tblW w:w="5365"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28" w:type="dxa"/>
          <w:bottom w:w="0" w:type="dxa"/>
          <w:right w:w="28" w:type="dxa"/>
        </w:tblCellMar>
      </w:tblPr>
      <w:tblGrid>
        <w:gridCol w:w="8972"/>
      </w:tblGrid>
      <w:tr w14:paraId="1FCBF2E1">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363" w:hRule="atLeast"/>
          <w:tblHeader/>
          <w:jc w:val="center"/>
        </w:trPr>
        <w:tc>
          <w:tcPr>
            <w:tcW w:w="5000" w:type="pct"/>
            <w:tcBorders>
              <w:top w:val="single" w:color="auto" w:sz="4" w:space="0"/>
              <w:left w:val="single" w:color="auto" w:sz="4" w:space="0"/>
              <w:right w:val="single" w:color="auto" w:sz="4" w:space="0"/>
            </w:tcBorders>
            <w:noWrap w:val="0"/>
            <w:vAlign w:val="center"/>
          </w:tcPr>
          <w:p w14:paraId="421596E0">
            <w:pPr>
              <w:tabs>
                <w:tab w:val="left" w:pos="8364"/>
              </w:tabs>
              <w:snapToGrid w:val="0"/>
              <w:spacing w:line="360" w:lineRule="auto"/>
              <w:ind w:right="-58"/>
              <w:jc w:val="center"/>
              <w:rPr>
                <w:rFonts w:ascii="宋体" w:hAnsi="宋体" w:eastAsia="宋体" w:cs="宋体"/>
                <w:b/>
                <w:bCs/>
                <w:color w:val="auto"/>
                <w:sz w:val="32"/>
                <w:szCs w:val="32"/>
                <w:highlight w:val="none"/>
              </w:rPr>
            </w:pPr>
            <w:bookmarkStart w:id="534" w:name="_Toc361508760"/>
            <w:r>
              <w:rPr>
                <w:rFonts w:hint="eastAsia" w:ascii="宋体" w:hAnsi="宋体" w:eastAsia="宋体" w:cs="宋体"/>
                <w:b/>
                <w:bCs/>
                <w:color w:val="auto"/>
                <w:sz w:val="32"/>
                <w:szCs w:val="32"/>
                <w:highlight w:val="none"/>
                <w:lang w:val="en-US" w:eastAsia="zh-CN"/>
              </w:rPr>
              <w:t>投标</w:t>
            </w:r>
            <w:r>
              <w:rPr>
                <w:rFonts w:hint="eastAsia" w:ascii="宋体" w:hAnsi="宋体" w:eastAsia="宋体" w:cs="宋体"/>
                <w:b/>
                <w:bCs/>
                <w:color w:val="auto"/>
                <w:sz w:val="32"/>
                <w:szCs w:val="32"/>
                <w:highlight w:val="none"/>
              </w:rPr>
              <w:t>报价表</w:t>
            </w:r>
          </w:p>
          <w:p w14:paraId="4502FAFC">
            <w:pPr>
              <w:tabs>
                <w:tab w:val="left" w:pos="8364"/>
              </w:tabs>
              <w:snapToGrid w:val="0"/>
              <w:spacing w:line="360" w:lineRule="auto"/>
              <w:ind w:right="-58"/>
              <w:jc w:val="center"/>
              <w:rPr>
                <w:rFonts w:ascii="宋体" w:hAnsi="宋体" w:eastAsia="宋体" w:cs="宋体"/>
                <w:b/>
                <w:bCs/>
                <w:color w:val="auto"/>
                <w:szCs w:val="21"/>
                <w:highlight w:val="none"/>
              </w:rPr>
            </w:pPr>
            <w:r>
              <w:rPr>
                <w:rFonts w:hint="eastAsia" w:ascii="宋体" w:hAnsi="宋体" w:eastAsia="宋体" w:cs="宋体"/>
                <w:b/>
                <w:bCs/>
                <w:color w:val="auto"/>
                <w:szCs w:val="21"/>
                <w:highlight w:val="none"/>
              </w:rPr>
              <w:t>（以下均为含税报价）</w:t>
            </w:r>
          </w:p>
        </w:tc>
      </w:tr>
      <w:tr w14:paraId="074BBB07">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28" w:type="dxa"/>
            <w:bottom w:w="0" w:type="dxa"/>
            <w:right w:w="28" w:type="dxa"/>
          </w:tblCellMar>
        </w:tblPrEx>
        <w:trPr>
          <w:trHeight w:val="3945" w:hRule="atLeast"/>
          <w:jc w:val="center"/>
        </w:trPr>
        <w:tc>
          <w:tcPr>
            <w:tcW w:w="5000" w:type="pct"/>
            <w:tcBorders>
              <w:top w:val="single" w:color="auto" w:sz="4" w:space="0"/>
              <w:left w:val="single" w:color="auto" w:sz="4" w:space="0"/>
              <w:bottom w:val="single" w:color="auto" w:sz="4" w:space="0"/>
              <w:right w:val="single" w:color="auto" w:sz="4" w:space="0"/>
            </w:tcBorders>
            <w:noWrap w:val="0"/>
            <w:vAlign w:val="center"/>
          </w:tcPr>
          <w:p w14:paraId="436FC0FC">
            <w:pPr>
              <w:spacing w:line="360" w:lineRule="auto"/>
              <w:ind w:right="33"/>
              <w:rPr>
                <w:rFonts w:ascii="宋体" w:hAnsi="宋体" w:eastAsia="宋体" w:cs="宋体"/>
                <w:color w:val="auto"/>
                <w:kern w:val="0"/>
                <w:szCs w:val="21"/>
                <w:highlight w:val="none"/>
              </w:rPr>
            </w:pPr>
            <w:r>
              <w:rPr>
                <w:rFonts w:hint="eastAsia" w:ascii="宋体" w:hAnsi="宋体" w:eastAsia="宋体" w:cs="宋体"/>
                <w:b/>
                <w:color w:val="auto"/>
                <w:kern w:val="0"/>
                <w:position w:val="-1"/>
                <w:szCs w:val="21"/>
                <w:highlight w:val="none"/>
              </w:rPr>
              <w:t>1.营销顾问费用（24个月）：</w:t>
            </w:r>
            <w:r>
              <w:rPr>
                <w:rFonts w:hint="eastAsia" w:ascii="宋体" w:hAnsi="宋体" w:eastAsia="宋体" w:cs="宋体"/>
                <w:b/>
                <w:color w:val="auto"/>
                <w:kern w:val="0"/>
                <w:position w:val="-1"/>
                <w:szCs w:val="21"/>
                <w:highlight w:val="none"/>
                <w:lang w:val="en-US" w:eastAsia="zh-CN"/>
              </w:rPr>
              <w:t>每月</w:t>
            </w:r>
            <w:r>
              <w:rPr>
                <w:rFonts w:hint="eastAsia" w:ascii="宋体" w:hAnsi="宋体" w:eastAsia="宋体" w:cs="宋体"/>
                <w:color w:val="auto"/>
                <w:kern w:val="0"/>
                <w:szCs w:val="21"/>
                <w:highlight w:val="none"/>
              </w:rPr>
              <w:t>¥</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u w:val="single"/>
                <w:lang w:val="en-US" w:eastAsia="zh-CN"/>
              </w:rPr>
              <w:t>元</w:t>
            </w:r>
            <w:r>
              <w:rPr>
                <w:rFonts w:hint="eastAsia" w:ascii="宋体" w:hAnsi="宋体" w:eastAsia="宋体" w:cs="宋体"/>
                <w:color w:val="auto"/>
                <w:kern w:val="0"/>
                <w:szCs w:val="21"/>
                <w:highlight w:val="none"/>
              </w:rPr>
              <w:t>（大写：人民币</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kern w:val="0"/>
                <w:szCs w:val="21"/>
                <w:highlight w:val="none"/>
              </w:rPr>
              <w:t>元整）。</w:t>
            </w:r>
          </w:p>
          <w:p w14:paraId="6A6E8D82">
            <w:pPr>
              <w:spacing w:line="360" w:lineRule="auto"/>
              <w:ind w:right="33"/>
              <w:rPr>
                <w:rFonts w:ascii="宋体" w:hAnsi="宋体" w:eastAsia="宋体" w:cs="宋体"/>
                <w:b/>
                <w:color w:val="auto"/>
                <w:kern w:val="0"/>
                <w:szCs w:val="21"/>
                <w:highlight w:val="none"/>
              </w:rPr>
            </w:pPr>
            <w:r>
              <w:rPr>
                <w:rFonts w:hint="eastAsia" w:ascii="宋体" w:hAnsi="宋体" w:eastAsia="宋体" w:cs="宋体"/>
                <w:b/>
                <w:color w:val="auto"/>
                <w:kern w:val="0"/>
                <w:szCs w:val="21"/>
                <w:highlight w:val="none"/>
              </w:rPr>
              <w:t>2.基</w:t>
            </w:r>
            <w:r>
              <w:rPr>
                <w:rFonts w:hint="eastAsia" w:ascii="宋体" w:hAnsi="宋体" w:eastAsia="宋体" w:cs="宋体"/>
                <w:b/>
                <w:color w:val="auto"/>
                <w:kern w:val="0"/>
                <w:szCs w:val="21"/>
                <w:highlight w:val="none"/>
                <w:lang w:val="en-US" w:eastAsia="zh-CN"/>
              </w:rPr>
              <w:t>础</w:t>
            </w:r>
            <w:r>
              <w:rPr>
                <w:rFonts w:hint="eastAsia" w:ascii="宋体" w:hAnsi="宋体" w:eastAsia="宋体" w:cs="宋体"/>
                <w:b/>
                <w:color w:val="auto"/>
                <w:kern w:val="0"/>
                <w:szCs w:val="21"/>
                <w:highlight w:val="none"/>
              </w:rPr>
              <w:t>代</w:t>
            </w:r>
            <w:r>
              <w:rPr>
                <w:rFonts w:hint="eastAsia" w:ascii="宋体" w:hAnsi="宋体" w:eastAsia="宋体" w:cs="宋体"/>
                <w:b/>
                <w:color w:val="auto"/>
                <w:spacing w:val="-2"/>
                <w:kern w:val="0"/>
                <w:szCs w:val="21"/>
                <w:highlight w:val="none"/>
              </w:rPr>
              <w:t>理</w:t>
            </w:r>
            <w:r>
              <w:rPr>
                <w:rFonts w:hint="eastAsia" w:ascii="宋体" w:hAnsi="宋体" w:eastAsia="宋体" w:cs="宋体"/>
                <w:b/>
                <w:color w:val="auto"/>
                <w:kern w:val="0"/>
                <w:szCs w:val="21"/>
                <w:highlight w:val="none"/>
              </w:rPr>
              <w:t>佣</w:t>
            </w:r>
            <w:r>
              <w:rPr>
                <w:rFonts w:hint="eastAsia" w:ascii="宋体" w:hAnsi="宋体" w:eastAsia="宋体" w:cs="宋体"/>
                <w:b/>
                <w:color w:val="auto"/>
                <w:spacing w:val="-2"/>
                <w:kern w:val="0"/>
                <w:szCs w:val="21"/>
                <w:highlight w:val="none"/>
              </w:rPr>
              <w:t>金</w:t>
            </w:r>
            <w:r>
              <w:rPr>
                <w:rFonts w:hint="eastAsia" w:ascii="宋体" w:hAnsi="宋体" w:eastAsia="宋体" w:cs="宋体"/>
                <w:b/>
                <w:color w:val="auto"/>
                <w:kern w:val="0"/>
                <w:szCs w:val="21"/>
                <w:highlight w:val="none"/>
              </w:rPr>
              <w:t>：</w:t>
            </w:r>
          </w:p>
          <w:p w14:paraId="30792DDD">
            <w:pPr>
              <w:spacing w:line="360" w:lineRule="auto"/>
              <w:ind w:right="33"/>
              <w:rPr>
                <w:rFonts w:ascii="宋体" w:hAnsi="宋体" w:eastAsia="宋体" w:cs="宋体"/>
                <w:color w:val="auto"/>
                <w:spacing w:val="-2"/>
                <w:kern w:val="0"/>
                <w:szCs w:val="21"/>
                <w:highlight w:val="none"/>
              </w:rPr>
            </w:pPr>
            <w:r>
              <w:rPr>
                <w:rFonts w:hint="eastAsia" w:ascii="宋体" w:hAnsi="宋体" w:eastAsia="宋体" w:cs="宋体"/>
                <w:color w:val="auto"/>
                <w:kern w:val="0"/>
                <w:szCs w:val="21"/>
                <w:highlight w:val="none"/>
              </w:rPr>
              <w:t>基础代理佣金</w:t>
            </w:r>
            <w:r>
              <w:rPr>
                <w:rFonts w:hint="eastAsia" w:ascii="宋体" w:hAnsi="宋体" w:eastAsia="宋体" w:cs="宋体"/>
                <w:color w:val="auto"/>
                <w:spacing w:val="-2"/>
                <w:kern w:val="0"/>
                <w:szCs w:val="21"/>
                <w:highlight w:val="none"/>
              </w:rPr>
              <w:t>为</w:t>
            </w:r>
            <w:r>
              <w:rPr>
                <w:rFonts w:hint="eastAsia" w:ascii="宋体" w:hAnsi="宋体" w:eastAsia="宋体" w:cs="宋体"/>
                <w:color w:val="auto"/>
                <w:kern w:val="0"/>
                <w:szCs w:val="21"/>
                <w:highlight w:val="none"/>
              </w:rPr>
              <w:t>最</w:t>
            </w:r>
            <w:r>
              <w:rPr>
                <w:rFonts w:hint="eastAsia" w:ascii="宋体" w:hAnsi="宋体" w:eastAsia="宋体" w:cs="宋体"/>
                <w:color w:val="auto"/>
                <w:spacing w:val="-2"/>
                <w:kern w:val="0"/>
                <w:szCs w:val="21"/>
                <w:highlight w:val="none"/>
              </w:rPr>
              <w:t>终</w:t>
            </w:r>
            <w:r>
              <w:rPr>
                <w:rFonts w:hint="eastAsia" w:ascii="宋体" w:hAnsi="宋体" w:eastAsia="宋体" w:cs="宋体"/>
                <w:color w:val="auto"/>
                <w:kern w:val="0"/>
                <w:szCs w:val="21"/>
                <w:highlight w:val="none"/>
              </w:rPr>
              <w:t>签</w:t>
            </w:r>
            <w:r>
              <w:rPr>
                <w:rFonts w:hint="eastAsia" w:ascii="宋体" w:hAnsi="宋体" w:eastAsia="宋体" w:cs="宋体"/>
                <w:color w:val="auto"/>
                <w:spacing w:val="-2"/>
                <w:kern w:val="0"/>
                <w:szCs w:val="21"/>
                <w:highlight w:val="none"/>
              </w:rPr>
              <w:t>署</w:t>
            </w:r>
            <w:r>
              <w:rPr>
                <w:rFonts w:hint="eastAsia" w:ascii="宋体" w:hAnsi="宋体" w:eastAsia="宋体" w:cs="宋体"/>
                <w:color w:val="auto"/>
                <w:kern w:val="0"/>
                <w:szCs w:val="21"/>
                <w:highlight w:val="none"/>
              </w:rPr>
              <w:t>的租</w:t>
            </w:r>
            <w:r>
              <w:rPr>
                <w:rFonts w:hint="eastAsia" w:ascii="宋体" w:hAnsi="宋体" w:eastAsia="宋体" w:cs="宋体"/>
                <w:color w:val="auto"/>
                <w:spacing w:val="-2"/>
                <w:kern w:val="0"/>
                <w:szCs w:val="21"/>
                <w:highlight w:val="none"/>
              </w:rPr>
              <w:t>赁</w:t>
            </w:r>
            <w:r>
              <w:rPr>
                <w:rFonts w:hint="eastAsia" w:ascii="宋体" w:hAnsi="宋体" w:eastAsia="宋体" w:cs="宋体"/>
                <w:color w:val="auto"/>
                <w:kern w:val="0"/>
                <w:szCs w:val="21"/>
                <w:highlight w:val="none"/>
              </w:rPr>
              <w:t>合</w:t>
            </w:r>
            <w:r>
              <w:rPr>
                <w:rFonts w:hint="eastAsia" w:ascii="宋体" w:hAnsi="宋体" w:eastAsia="宋体" w:cs="宋体"/>
                <w:color w:val="auto"/>
                <w:spacing w:val="-2"/>
                <w:kern w:val="0"/>
                <w:szCs w:val="21"/>
                <w:highlight w:val="none"/>
              </w:rPr>
              <w:t>同</w:t>
            </w:r>
            <w:r>
              <w:rPr>
                <w:rFonts w:hint="eastAsia" w:ascii="宋体" w:hAnsi="宋体" w:eastAsia="宋体" w:cs="宋体"/>
                <w:color w:val="auto"/>
                <w:kern w:val="0"/>
                <w:szCs w:val="21"/>
                <w:highlight w:val="none"/>
              </w:rPr>
              <w:t>所</w:t>
            </w:r>
            <w:r>
              <w:rPr>
                <w:rFonts w:hint="eastAsia" w:ascii="宋体" w:hAnsi="宋体" w:eastAsia="宋体" w:cs="宋体"/>
                <w:color w:val="auto"/>
                <w:spacing w:val="-2"/>
                <w:kern w:val="0"/>
                <w:szCs w:val="21"/>
                <w:highlight w:val="none"/>
              </w:rPr>
              <w:t>规</w:t>
            </w:r>
            <w:r>
              <w:rPr>
                <w:rFonts w:hint="eastAsia" w:ascii="宋体" w:hAnsi="宋体" w:eastAsia="宋体" w:cs="宋体"/>
                <w:color w:val="auto"/>
                <w:kern w:val="0"/>
                <w:szCs w:val="21"/>
                <w:highlight w:val="none"/>
              </w:rPr>
              <w:t>定</w:t>
            </w:r>
            <w:r>
              <w:rPr>
                <w:rFonts w:hint="eastAsia" w:ascii="宋体" w:hAnsi="宋体" w:eastAsia="宋体" w:cs="宋体"/>
                <w:color w:val="auto"/>
                <w:spacing w:val="-2"/>
                <w:kern w:val="0"/>
                <w:szCs w:val="21"/>
                <w:highlight w:val="none"/>
              </w:rPr>
              <w:t>的含税</w:t>
            </w:r>
            <w:r>
              <w:rPr>
                <w:rFonts w:hint="eastAsia" w:ascii="宋体" w:hAnsi="宋体" w:eastAsia="宋体" w:cs="宋体"/>
                <w:color w:val="auto"/>
                <w:kern w:val="0"/>
                <w:szCs w:val="21"/>
                <w:highlight w:val="none"/>
              </w:rPr>
              <w:t>首</w:t>
            </w:r>
            <w:r>
              <w:rPr>
                <w:rFonts w:hint="eastAsia" w:ascii="宋体" w:hAnsi="宋体" w:eastAsia="宋体" w:cs="宋体"/>
                <w:color w:val="auto"/>
                <w:spacing w:val="-2"/>
                <w:kern w:val="0"/>
                <w:szCs w:val="21"/>
                <w:highlight w:val="none"/>
              </w:rPr>
              <w:t>年</w:t>
            </w:r>
            <w:r>
              <w:rPr>
                <w:rFonts w:hint="eastAsia" w:ascii="宋体" w:hAnsi="宋体" w:eastAsia="宋体" w:cs="宋体"/>
                <w:color w:val="auto"/>
                <w:kern w:val="0"/>
                <w:szCs w:val="21"/>
                <w:highlight w:val="none"/>
              </w:rPr>
              <w:t>首月</w:t>
            </w:r>
            <w:r>
              <w:rPr>
                <w:rFonts w:hint="eastAsia" w:ascii="宋体" w:hAnsi="宋体" w:eastAsia="宋体" w:cs="宋体"/>
                <w:color w:val="auto"/>
                <w:spacing w:val="-2"/>
                <w:kern w:val="0"/>
                <w:szCs w:val="21"/>
                <w:highlight w:val="none"/>
              </w:rPr>
              <w:t>租</w:t>
            </w:r>
            <w:r>
              <w:rPr>
                <w:rFonts w:hint="eastAsia" w:ascii="宋体" w:hAnsi="宋体" w:eastAsia="宋体" w:cs="宋体"/>
                <w:color w:val="auto"/>
                <w:kern w:val="0"/>
                <w:szCs w:val="21"/>
                <w:highlight w:val="none"/>
              </w:rPr>
              <w:t>金的</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spacing w:val="-2"/>
                <w:kern w:val="0"/>
                <w:szCs w:val="21"/>
                <w:highlight w:val="none"/>
              </w:rPr>
              <w:t xml:space="preserve"> %。</w:t>
            </w:r>
          </w:p>
          <w:p w14:paraId="35193938">
            <w:pPr>
              <w:spacing w:line="360" w:lineRule="auto"/>
              <w:ind w:right="33"/>
              <w:rPr>
                <w:rFonts w:ascii="宋体" w:hAnsi="宋体" w:eastAsia="宋体" w:cs="宋体"/>
                <w:color w:val="auto"/>
                <w:kern w:val="0"/>
                <w:szCs w:val="21"/>
                <w:highlight w:val="none"/>
              </w:rPr>
            </w:pPr>
            <w:r>
              <w:rPr>
                <w:rFonts w:hint="eastAsia" w:ascii="宋体" w:hAnsi="宋体" w:eastAsia="宋体" w:cs="宋体"/>
                <w:color w:val="auto"/>
                <w:spacing w:val="-2"/>
                <w:kern w:val="0"/>
                <w:szCs w:val="21"/>
                <w:highlight w:val="none"/>
              </w:rPr>
              <w:t>（投标人有效报价区间：</w:t>
            </w:r>
            <w:r>
              <w:rPr>
                <w:rFonts w:hint="eastAsia" w:ascii="宋体" w:hAnsi="宋体" w:eastAsia="宋体" w:cs="宋体"/>
                <w:color w:val="auto"/>
                <w:spacing w:val="-2"/>
                <w:kern w:val="0"/>
                <w:szCs w:val="21"/>
                <w:highlight w:val="none"/>
                <w:lang w:val="en-US" w:eastAsia="zh-CN"/>
              </w:rPr>
              <w:t>10</w:t>
            </w:r>
            <w:r>
              <w:rPr>
                <w:rFonts w:hint="eastAsia" w:ascii="宋体" w:hAnsi="宋体" w:eastAsia="宋体" w:cs="宋体"/>
                <w:color w:val="auto"/>
                <w:spacing w:val="-2"/>
                <w:kern w:val="0"/>
                <w:szCs w:val="21"/>
                <w:highlight w:val="none"/>
              </w:rPr>
              <w:t>0%-200%（含</w:t>
            </w:r>
            <w:r>
              <w:rPr>
                <w:rFonts w:hint="eastAsia" w:ascii="宋体" w:hAnsi="宋体" w:eastAsia="宋体" w:cs="宋体"/>
                <w:color w:val="auto"/>
                <w:spacing w:val="-2"/>
                <w:kern w:val="0"/>
                <w:szCs w:val="21"/>
                <w:highlight w:val="none"/>
                <w:lang w:val="en-US" w:eastAsia="zh-CN"/>
              </w:rPr>
              <w:t>10</w:t>
            </w:r>
            <w:r>
              <w:rPr>
                <w:rFonts w:hint="eastAsia" w:ascii="宋体" w:hAnsi="宋体" w:eastAsia="宋体" w:cs="宋体"/>
                <w:color w:val="auto"/>
                <w:spacing w:val="-2"/>
                <w:kern w:val="0"/>
                <w:szCs w:val="21"/>
                <w:highlight w:val="none"/>
              </w:rPr>
              <w:t>0%和200%),否则无效）</w:t>
            </w:r>
          </w:p>
          <w:p w14:paraId="3CA335EC">
            <w:pPr>
              <w:spacing w:line="360" w:lineRule="auto"/>
              <w:ind w:right="33"/>
              <w:rPr>
                <w:rFonts w:ascii="宋体" w:hAnsi="宋体" w:eastAsia="宋体" w:cs="宋体"/>
                <w:b/>
                <w:color w:val="auto"/>
                <w:spacing w:val="-2"/>
                <w:kern w:val="0"/>
                <w:szCs w:val="21"/>
                <w:highlight w:val="none"/>
              </w:rPr>
            </w:pPr>
            <w:r>
              <w:rPr>
                <w:rFonts w:hint="eastAsia" w:ascii="宋体" w:hAnsi="宋体" w:eastAsia="宋体" w:cs="宋体"/>
                <w:b/>
                <w:color w:val="auto"/>
                <w:kern w:val="0"/>
                <w:szCs w:val="21"/>
                <w:highlight w:val="none"/>
              </w:rPr>
              <w:t>3.</w:t>
            </w:r>
            <w:r>
              <w:rPr>
                <w:rFonts w:hint="eastAsia" w:ascii="宋体" w:hAnsi="宋体" w:eastAsia="宋体" w:cs="宋体"/>
                <w:b/>
                <w:color w:val="auto"/>
                <w:spacing w:val="-2"/>
                <w:kern w:val="0"/>
                <w:szCs w:val="21"/>
                <w:highlight w:val="none"/>
              </w:rPr>
              <w:t>统筹管理服务佣金：</w:t>
            </w:r>
          </w:p>
          <w:p w14:paraId="4A995D45">
            <w:pPr>
              <w:spacing w:line="360" w:lineRule="auto"/>
              <w:ind w:right="33"/>
              <w:rPr>
                <w:rFonts w:hint="eastAsia" w:ascii="宋体" w:hAnsi="宋体" w:eastAsia="宋体" w:cs="宋体"/>
                <w:color w:val="auto"/>
                <w:kern w:val="0"/>
                <w:position w:val="-1"/>
                <w:szCs w:val="21"/>
                <w:highlight w:val="none"/>
              </w:rPr>
            </w:pPr>
            <w:r>
              <w:rPr>
                <w:rFonts w:hint="eastAsia" w:ascii="宋体" w:hAnsi="宋体" w:eastAsia="宋体"/>
                <w:color w:val="auto"/>
                <w:highlight w:val="none"/>
              </w:rPr>
              <w:t>（1）基本统筹管理佣金：</w:t>
            </w:r>
            <w:r>
              <w:rPr>
                <w:rFonts w:hint="eastAsia" w:ascii="宋体" w:hAnsi="宋体" w:eastAsia="宋体" w:cs="宋体"/>
                <w:color w:val="auto"/>
                <w:kern w:val="0"/>
                <w:position w:val="-1"/>
                <w:szCs w:val="21"/>
                <w:highlight w:val="none"/>
              </w:rPr>
              <w:t>为首席代理以外的第三方推荐成交客户的最终签署租赁合同的首年首月租金的</w:t>
            </w:r>
            <w:r>
              <w:rPr>
                <w:rFonts w:hint="eastAsia" w:ascii="宋体" w:hAnsi="宋体" w:eastAsia="宋体" w:cs="宋体"/>
                <w:color w:val="auto"/>
                <w:kern w:val="0"/>
                <w:szCs w:val="21"/>
                <w:highlight w:val="none"/>
                <w:u w:val="single"/>
              </w:rPr>
              <w:t xml:space="preserve">   </w:t>
            </w:r>
            <w:r>
              <w:rPr>
                <w:rFonts w:hint="eastAsia" w:ascii="宋体" w:hAnsi="宋体" w:eastAsia="宋体" w:cs="宋体"/>
                <w:color w:val="auto"/>
                <w:spacing w:val="-2"/>
                <w:kern w:val="0"/>
                <w:szCs w:val="21"/>
                <w:highlight w:val="none"/>
              </w:rPr>
              <w:t xml:space="preserve"> %</w:t>
            </w:r>
            <w:r>
              <w:rPr>
                <w:rFonts w:hint="eastAsia" w:ascii="宋体" w:hAnsi="宋体" w:eastAsia="宋体" w:cs="宋体"/>
                <w:color w:val="auto"/>
                <w:kern w:val="0"/>
                <w:position w:val="-1"/>
                <w:szCs w:val="21"/>
                <w:highlight w:val="none"/>
              </w:rPr>
              <w:t>（投标人有效报价区间：0-20%（含0%和20%），否则无效）。</w:t>
            </w:r>
          </w:p>
          <w:p w14:paraId="0FFD1DBB">
            <w:pPr>
              <w:spacing w:line="360" w:lineRule="auto"/>
              <w:ind w:right="33"/>
              <w:rPr>
                <w:rFonts w:ascii="宋体" w:hAnsi="宋体" w:eastAsia="宋体" w:cs="宋体"/>
                <w:color w:val="auto"/>
                <w:kern w:val="0"/>
                <w:position w:val="-1"/>
                <w:szCs w:val="21"/>
                <w:highlight w:val="none"/>
              </w:rPr>
            </w:pPr>
          </w:p>
          <w:p w14:paraId="102CD71A">
            <w:pPr>
              <w:spacing w:line="360" w:lineRule="auto"/>
              <w:ind w:right="33"/>
              <w:rPr>
                <w:rFonts w:ascii="宋体" w:hAnsi="宋体" w:eastAsia="宋体" w:cs="宋体"/>
                <w:color w:val="auto"/>
                <w:kern w:val="0"/>
                <w:position w:val="-1"/>
                <w:szCs w:val="21"/>
                <w:highlight w:val="none"/>
              </w:rPr>
            </w:pPr>
            <w:r>
              <w:rPr>
                <w:rFonts w:hint="eastAsia" w:ascii="宋体" w:hAnsi="宋体" w:eastAsia="宋体" w:cs="宋体"/>
                <w:color w:val="auto"/>
                <w:kern w:val="0"/>
                <w:position w:val="-1"/>
                <w:szCs w:val="21"/>
                <w:highlight w:val="none"/>
              </w:rPr>
              <w:t>【首年</w:t>
            </w:r>
            <w:r>
              <w:rPr>
                <w:rFonts w:hint="eastAsia" w:ascii="宋体" w:hAnsi="宋体" w:eastAsia="宋体" w:cs="宋体"/>
                <w:color w:val="auto"/>
                <w:spacing w:val="-2"/>
                <w:kern w:val="0"/>
                <w:position w:val="-1"/>
                <w:szCs w:val="21"/>
                <w:highlight w:val="none"/>
              </w:rPr>
              <w:t>首</w:t>
            </w:r>
            <w:r>
              <w:rPr>
                <w:rFonts w:hint="eastAsia" w:ascii="宋体" w:hAnsi="宋体" w:eastAsia="宋体" w:cs="宋体"/>
                <w:color w:val="auto"/>
                <w:kern w:val="0"/>
                <w:position w:val="-1"/>
                <w:szCs w:val="21"/>
                <w:highlight w:val="none"/>
              </w:rPr>
              <w:t>月</w:t>
            </w:r>
            <w:r>
              <w:rPr>
                <w:rFonts w:hint="eastAsia" w:ascii="宋体" w:hAnsi="宋体" w:eastAsia="宋体" w:cs="宋体"/>
                <w:color w:val="auto"/>
                <w:spacing w:val="-2"/>
                <w:kern w:val="0"/>
                <w:position w:val="-1"/>
                <w:szCs w:val="21"/>
                <w:highlight w:val="none"/>
              </w:rPr>
              <w:t>租</w:t>
            </w:r>
            <w:r>
              <w:rPr>
                <w:rFonts w:hint="eastAsia" w:ascii="宋体" w:hAnsi="宋体" w:eastAsia="宋体" w:cs="宋体"/>
                <w:color w:val="auto"/>
                <w:kern w:val="0"/>
                <w:position w:val="-1"/>
                <w:szCs w:val="21"/>
                <w:highlight w:val="none"/>
              </w:rPr>
              <w:t>金】是指</w:t>
            </w:r>
            <w:r>
              <w:rPr>
                <w:rFonts w:hint="eastAsia" w:ascii="宋体" w:hAnsi="宋体" w:eastAsia="宋体" w:cs="宋体"/>
                <w:color w:val="auto"/>
                <w:spacing w:val="-2"/>
                <w:kern w:val="0"/>
                <w:position w:val="-1"/>
                <w:szCs w:val="21"/>
                <w:highlight w:val="none"/>
              </w:rPr>
              <w:t>：</w:t>
            </w:r>
            <w:r>
              <w:rPr>
                <w:rFonts w:hint="eastAsia" w:ascii="宋体" w:hAnsi="宋体" w:eastAsia="宋体" w:cs="宋体"/>
                <w:color w:val="auto"/>
                <w:kern w:val="0"/>
                <w:position w:val="-1"/>
                <w:szCs w:val="21"/>
                <w:highlight w:val="none"/>
              </w:rPr>
              <w:t>甲方</w:t>
            </w:r>
            <w:r>
              <w:rPr>
                <w:rFonts w:hint="eastAsia" w:ascii="宋体" w:hAnsi="宋体" w:eastAsia="宋体" w:cs="宋体"/>
                <w:color w:val="auto"/>
                <w:spacing w:val="-2"/>
                <w:kern w:val="0"/>
                <w:position w:val="-1"/>
                <w:szCs w:val="21"/>
                <w:highlight w:val="none"/>
              </w:rPr>
              <w:t>与</w:t>
            </w:r>
            <w:r>
              <w:rPr>
                <w:rFonts w:hint="eastAsia" w:ascii="宋体" w:hAnsi="宋体" w:eastAsia="宋体" w:cs="宋体"/>
                <w:color w:val="auto"/>
                <w:kern w:val="0"/>
                <w:position w:val="-1"/>
                <w:szCs w:val="21"/>
                <w:highlight w:val="none"/>
              </w:rPr>
              <w:t>租赁</w:t>
            </w:r>
            <w:r>
              <w:rPr>
                <w:rFonts w:hint="eastAsia" w:ascii="宋体" w:hAnsi="宋体" w:eastAsia="宋体" w:cs="宋体"/>
                <w:color w:val="auto"/>
                <w:spacing w:val="-2"/>
                <w:kern w:val="0"/>
                <w:position w:val="-1"/>
                <w:szCs w:val="21"/>
                <w:highlight w:val="none"/>
              </w:rPr>
              <w:t>客</w:t>
            </w:r>
            <w:r>
              <w:rPr>
                <w:rFonts w:hint="eastAsia" w:ascii="宋体" w:hAnsi="宋体" w:eastAsia="宋体" w:cs="宋体"/>
                <w:color w:val="auto"/>
                <w:kern w:val="0"/>
                <w:position w:val="-1"/>
                <w:szCs w:val="21"/>
                <w:highlight w:val="none"/>
              </w:rPr>
              <w:t>户</w:t>
            </w:r>
            <w:r>
              <w:rPr>
                <w:rFonts w:hint="eastAsia" w:ascii="宋体" w:hAnsi="宋体" w:eastAsia="宋体" w:cs="宋体"/>
                <w:color w:val="auto"/>
                <w:spacing w:val="-2"/>
                <w:kern w:val="0"/>
                <w:position w:val="-1"/>
                <w:szCs w:val="21"/>
                <w:highlight w:val="none"/>
              </w:rPr>
              <w:t>所</w:t>
            </w:r>
            <w:r>
              <w:rPr>
                <w:rFonts w:hint="eastAsia" w:ascii="宋体" w:hAnsi="宋体" w:eastAsia="宋体" w:cs="宋体"/>
                <w:color w:val="auto"/>
                <w:kern w:val="0"/>
                <w:position w:val="-1"/>
                <w:szCs w:val="21"/>
                <w:highlight w:val="none"/>
              </w:rPr>
              <w:t>签</w:t>
            </w:r>
            <w:r>
              <w:rPr>
                <w:rFonts w:hint="eastAsia" w:ascii="宋体" w:hAnsi="宋体" w:eastAsia="宋体" w:cs="宋体"/>
                <w:color w:val="auto"/>
                <w:spacing w:val="-2"/>
                <w:kern w:val="0"/>
                <w:position w:val="-1"/>
                <w:szCs w:val="21"/>
                <w:highlight w:val="none"/>
              </w:rPr>
              <w:t>署</w:t>
            </w:r>
            <w:r>
              <w:rPr>
                <w:rFonts w:hint="eastAsia" w:ascii="宋体" w:hAnsi="宋体" w:eastAsia="宋体" w:cs="宋体"/>
                <w:color w:val="auto"/>
                <w:kern w:val="0"/>
                <w:position w:val="-1"/>
                <w:szCs w:val="21"/>
                <w:highlight w:val="none"/>
              </w:rPr>
              <w:t>的</w:t>
            </w:r>
            <w:r>
              <w:rPr>
                <w:rFonts w:hint="eastAsia" w:ascii="宋体" w:hAnsi="宋体" w:eastAsia="宋体" w:cs="宋体"/>
                <w:color w:val="auto"/>
                <w:spacing w:val="-2"/>
                <w:kern w:val="0"/>
                <w:position w:val="-1"/>
                <w:szCs w:val="21"/>
                <w:highlight w:val="none"/>
              </w:rPr>
              <w:t>租</w:t>
            </w:r>
            <w:r>
              <w:rPr>
                <w:rFonts w:hint="eastAsia" w:ascii="宋体" w:hAnsi="宋体" w:eastAsia="宋体" w:cs="宋体"/>
                <w:color w:val="auto"/>
                <w:kern w:val="0"/>
                <w:position w:val="-1"/>
                <w:szCs w:val="21"/>
                <w:highlight w:val="none"/>
              </w:rPr>
              <w:t>赁</w:t>
            </w:r>
            <w:r>
              <w:rPr>
                <w:rFonts w:hint="eastAsia" w:ascii="宋体" w:hAnsi="宋体" w:eastAsia="宋体" w:cs="宋体"/>
                <w:color w:val="auto"/>
                <w:spacing w:val="-2"/>
                <w:kern w:val="0"/>
                <w:position w:val="-1"/>
                <w:szCs w:val="21"/>
                <w:highlight w:val="none"/>
              </w:rPr>
              <w:t>合</w:t>
            </w:r>
            <w:r>
              <w:rPr>
                <w:rFonts w:hint="eastAsia" w:ascii="宋体" w:hAnsi="宋体" w:eastAsia="宋体" w:cs="宋体"/>
                <w:color w:val="auto"/>
                <w:kern w:val="0"/>
                <w:position w:val="-1"/>
                <w:szCs w:val="21"/>
                <w:highlight w:val="none"/>
              </w:rPr>
              <w:t>同内</w:t>
            </w:r>
            <w:r>
              <w:rPr>
                <w:rFonts w:hint="eastAsia" w:ascii="宋体" w:hAnsi="宋体" w:eastAsia="宋体" w:cs="宋体"/>
                <w:color w:val="auto"/>
                <w:spacing w:val="-2"/>
                <w:kern w:val="0"/>
                <w:position w:val="-1"/>
                <w:szCs w:val="21"/>
                <w:highlight w:val="none"/>
              </w:rPr>
              <w:t>，</w:t>
            </w:r>
            <w:r>
              <w:rPr>
                <w:rFonts w:hint="eastAsia" w:ascii="宋体" w:hAnsi="宋体" w:eastAsia="宋体" w:cs="宋体"/>
                <w:color w:val="auto"/>
                <w:kern w:val="0"/>
                <w:position w:val="-1"/>
                <w:szCs w:val="21"/>
                <w:highlight w:val="none"/>
              </w:rPr>
              <w:t>除</w:t>
            </w:r>
            <w:r>
              <w:rPr>
                <w:rFonts w:hint="eastAsia" w:ascii="宋体" w:hAnsi="宋体" w:eastAsia="宋体" w:cs="宋体"/>
                <w:color w:val="auto"/>
                <w:spacing w:val="-2"/>
                <w:kern w:val="0"/>
                <w:position w:val="-1"/>
                <w:szCs w:val="21"/>
                <w:highlight w:val="none"/>
              </w:rPr>
              <w:t>免</w:t>
            </w:r>
            <w:r>
              <w:rPr>
                <w:rFonts w:hint="eastAsia" w:ascii="宋体" w:hAnsi="宋体" w:eastAsia="宋体" w:cs="宋体"/>
                <w:color w:val="auto"/>
                <w:kern w:val="0"/>
                <w:position w:val="-1"/>
                <w:szCs w:val="21"/>
                <w:highlight w:val="none"/>
              </w:rPr>
              <w:t>租</w:t>
            </w:r>
            <w:r>
              <w:rPr>
                <w:rFonts w:hint="eastAsia" w:ascii="宋体" w:hAnsi="宋体" w:eastAsia="宋体" w:cs="宋体"/>
                <w:color w:val="auto"/>
                <w:spacing w:val="-2"/>
                <w:kern w:val="0"/>
                <w:position w:val="-1"/>
                <w:szCs w:val="21"/>
                <w:highlight w:val="none"/>
              </w:rPr>
              <w:t>期</w:t>
            </w:r>
            <w:r>
              <w:rPr>
                <w:rFonts w:hint="eastAsia" w:ascii="宋体" w:hAnsi="宋体" w:eastAsia="宋体" w:cs="宋体"/>
                <w:color w:val="auto"/>
                <w:spacing w:val="-2"/>
                <w:kern w:val="0"/>
                <w:szCs w:val="21"/>
                <w:highlight w:val="none"/>
              </w:rPr>
              <w:t>、</w:t>
            </w:r>
            <w:r>
              <w:rPr>
                <w:rFonts w:hint="eastAsia" w:ascii="宋体" w:hAnsi="宋体" w:eastAsia="宋体" w:cs="宋体"/>
                <w:color w:val="auto"/>
                <w:kern w:val="0"/>
                <w:szCs w:val="21"/>
                <w:highlight w:val="none"/>
              </w:rPr>
              <w:t>物</w:t>
            </w:r>
            <w:r>
              <w:rPr>
                <w:rFonts w:hint="eastAsia" w:ascii="宋体" w:hAnsi="宋体" w:eastAsia="宋体" w:cs="宋体"/>
                <w:color w:val="auto"/>
                <w:spacing w:val="-2"/>
                <w:kern w:val="0"/>
                <w:szCs w:val="21"/>
                <w:highlight w:val="none"/>
              </w:rPr>
              <w:t>业</w:t>
            </w:r>
            <w:r>
              <w:rPr>
                <w:rFonts w:hint="eastAsia" w:ascii="宋体" w:hAnsi="宋体" w:eastAsia="宋体" w:cs="宋体"/>
                <w:color w:val="auto"/>
                <w:kern w:val="0"/>
                <w:szCs w:val="21"/>
                <w:highlight w:val="none"/>
              </w:rPr>
              <w:t>管</w:t>
            </w:r>
            <w:r>
              <w:rPr>
                <w:rFonts w:hint="eastAsia" w:ascii="宋体" w:hAnsi="宋体" w:eastAsia="宋体" w:cs="宋体"/>
                <w:color w:val="auto"/>
                <w:spacing w:val="-2"/>
                <w:kern w:val="0"/>
                <w:szCs w:val="21"/>
                <w:highlight w:val="none"/>
              </w:rPr>
              <w:t>理费及空调费等以外应付的含税首年首月租金。</w:t>
            </w:r>
          </w:p>
        </w:tc>
      </w:tr>
    </w:tbl>
    <w:p w14:paraId="4B88D392">
      <w:pPr>
        <w:spacing w:line="360" w:lineRule="auto"/>
        <w:jc w:val="left"/>
        <w:rPr>
          <w:rFonts w:hint="eastAsia" w:ascii="宋体" w:hAnsi="宋体" w:eastAsia="宋体" w:cs="宋体"/>
          <w:color w:val="auto"/>
          <w:szCs w:val="21"/>
          <w:highlight w:val="none"/>
        </w:rPr>
      </w:pPr>
    </w:p>
    <w:p w14:paraId="2D02E06B">
      <w:pPr>
        <w:spacing w:line="360" w:lineRule="auto"/>
        <w:jc w:val="left"/>
        <w:rPr>
          <w:rFonts w:ascii="宋体" w:hAnsi="宋体" w:eastAsia="宋体" w:cs="宋体"/>
          <w:color w:val="auto"/>
          <w:szCs w:val="21"/>
          <w:highlight w:val="none"/>
        </w:rPr>
      </w:pPr>
      <w:r>
        <w:rPr>
          <w:rFonts w:hint="eastAsia" w:ascii="宋体" w:hAnsi="宋体" w:eastAsia="宋体" w:cs="宋体"/>
          <w:color w:val="auto"/>
          <w:szCs w:val="21"/>
          <w:highlight w:val="none"/>
        </w:rPr>
        <w:t>备注：此处应根据单价合同或总价合同的性质，分别对单价或总价所包含的范围进行说明,以上报价均为含税报价</w:t>
      </w:r>
      <w:r>
        <w:rPr>
          <w:rFonts w:hint="eastAsia" w:ascii="宋体" w:hAnsi="宋体" w:eastAsia="宋体" w:cs="宋体"/>
          <w:color w:val="auto"/>
          <w:kern w:val="0"/>
          <w:szCs w:val="21"/>
          <w:highlight w:val="none"/>
        </w:rPr>
        <w:t>。</w:t>
      </w:r>
    </w:p>
    <w:p w14:paraId="1F22702E">
      <w:pPr>
        <w:widowControl/>
        <w:spacing w:line="360" w:lineRule="auto"/>
        <w:jc w:val="left"/>
        <w:rPr>
          <w:rFonts w:ascii="宋体" w:hAnsi="宋体" w:eastAsia="宋体"/>
          <w:color w:val="auto"/>
          <w:highlight w:val="none"/>
        </w:rPr>
      </w:pPr>
    </w:p>
    <w:p w14:paraId="36D1DCCD">
      <w:pPr>
        <w:widowControl/>
        <w:spacing w:line="360" w:lineRule="auto"/>
        <w:ind w:firstLine="1995" w:firstLineChars="950"/>
        <w:jc w:val="left"/>
        <w:rPr>
          <w:rFonts w:ascii="宋体" w:hAnsi="宋体" w:eastAsia="宋体"/>
          <w:color w:val="auto"/>
          <w:highlight w:val="none"/>
        </w:rPr>
      </w:pPr>
      <w:r>
        <w:rPr>
          <w:rFonts w:hint="eastAsia" w:ascii="宋体" w:hAnsi="宋体" w:eastAsia="宋体"/>
          <w:color w:val="auto"/>
          <w:highlight w:val="none"/>
        </w:rPr>
        <w:t>投标人：</w:t>
      </w:r>
      <w:r>
        <w:rPr>
          <w:rFonts w:ascii="宋体" w:hAnsi="宋体" w:eastAsia="宋体"/>
          <w:color w:val="auto"/>
          <w:highlight w:val="none"/>
        </w:rPr>
        <w:t xml:space="preserve">(盖单位章)                                    </w:t>
      </w:r>
    </w:p>
    <w:p w14:paraId="7FD66D1E">
      <w:pPr>
        <w:widowControl/>
        <w:spacing w:line="360" w:lineRule="auto"/>
        <w:ind w:firstLine="1995" w:firstLineChars="950"/>
        <w:jc w:val="left"/>
        <w:rPr>
          <w:rFonts w:ascii="宋体" w:hAnsi="宋体" w:eastAsia="宋体"/>
          <w:color w:val="auto"/>
          <w:highlight w:val="none"/>
        </w:rPr>
      </w:pPr>
      <w:r>
        <w:rPr>
          <w:rFonts w:hint="eastAsia" w:ascii="宋体" w:hAnsi="宋体" w:eastAsia="宋体"/>
          <w:color w:val="auto"/>
          <w:highlight w:val="none"/>
        </w:rPr>
        <w:t>法定代表人或授权委托人：（签字或盖章）</w:t>
      </w:r>
      <w:r>
        <w:rPr>
          <w:rFonts w:ascii="宋体" w:hAnsi="宋体" w:eastAsia="宋体"/>
          <w:color w:val="auto"/>
          <w:highlight w:val="none"/>
        </w:rPr>
        <w:t xml:space="preserve">         </w:t>
      </w:r>
    </w:p>
    <w:p w14:paraId="78818C81">
      <w:pPr>
        <w:widowControl/>
        <w:spacing w:line="360" w:lineRule="auto"/>
        <w:ind w:firstLine="1995" w:firstLineChars="950"/>
        <w:jc w:val="left"/>
        <w:rPr>
          <w:rFonts w:ascii="宋体" w:hAnsi="宋体" w:eastAsia="宋体"/>
          <w:color w:val="auto"/>
          <w:highlight w:val="none"/>
        </w:rPr>
      </w:pPr>
      <w:r>
        <w:rPr>
          <w:rFonts w:hint="eastAsia" w:ascii="宋体" w:hAnsi="宋体" w:eastAsia="宋体"/>
          <w:color w:val="auto"/>
          <w:highlight w:val="none"/>
        </w:rPr>
        <w:t>日期：</w:t>
      </w:r>
      <w:r>
        <w:rPr>
          <w:rFonts w:ascii="宋体" w:hAnsi="宋体" w:eastAsia="宋体"/>
          <w:color w:val="auto"/>
          <w:highlight w:val="none"/>
        </w:rPr>
        <w:t xml:space="preserve">        </w:t>
      </w:r>
      <w:r>
        <w:rPr>
          <w:rFonts w:hint="eastAsia" w:ascii="宋体" w:hAnsi="宋体" w:eastAsia="宋体"/>
          <w:color w:val="auto"/>
          <w:highlight w:val="none"/>
        </w:rPr>
        <w:t>年</w:t>
      </w:r>
      <w:r>
        <w:rPr>
          <w:rFonts w:ascii="宋体" w:hAnsi="宋体" w:eastAsia="宋体"/>
          <w:color w:val="auto"/>
          <w:highlight w:val="none"/>
        </w:rPr>
        <w:t xml:space="preserve">       </w:t>
      </w:r>
      <w:r>
        <w:rPr>
          <w:rFonts w:hint="eastAsia" w:ascii="宋体" w:hAnsi="宋体" w:eastAsia="宋体"/>
          <w:color w:val="auto"/>
          <w:highlight w:val="none"/>
        </w:rPr>
        <w:t>月</w:t>
      </w:r>
      <w:r>
        <w:rPr>
          <w:rFonts w:ascii="宋体" w:hAnsi="宋体" w:eastAsia="宋体"/>
          <w:color w:val="auto"/>
          <w:highlight w:val="none"/>
        </w:rPr>
        <w:t xml:space="preserve">      </w:t>
      </w:r>
      <w:r>
        <w:rPr>
          <w:rFonts w:hint="eastAsia" w:ascii="宋体" w:hAnsi="宋体" w:eastAsia="宋体"/>
          <w:color w:val="auto"/>
          <w:highlight w:val="none"/>
        </w:rPr>
        <w:t>日</w:t>
      </w:r>
    </w:p>
    <w:p w14:paraId="53294021">
      <w:pPr>
        <w:spacing w:line="360" w:lineRule="auto"/>
        <w:rPr>
          <w:rFonts w:ascii="宋体" w:hAnsi="宋体" w:eastAsia="宋体"/>
          <w:color w:val="auto"/>
          <w:sz w:val="24"/>
          <w:szCs w:val="24"/>
          <w:highlight w:val="none"/>
        </w:rPr>
      </w:pPr>
    </w:p>
    <w:p w14:paraId="3452773F">
      <w:pPr>
        <w:widowControl/>
        <w:jc w:val="left"/>
        <w:rPr>
          <w:rFonts w:ascii="宋体" w:hAnsi="宋体" w:eastAsia="宋体"/>
          <w:color w:val="auto"/>
          <w:sz w:val="24"/>
          <w:szCs w:val="24"/>
          <w:highlight w:val="none"/>
        </w:rPr>
      </w:pPr>
      <w:r>
        <w:rPr>
          <w:rFonts w:ascii="宋体" w:hAnsi="宋体" w:eastAsia="宋体"/>
          <w:color w:val="auto"/>
          <w:sz w:val="24"/>
          <w:szCs w:val="24"/>
          <w:highlight w:val="none"/>
        </w:rPr>
        <w:br w:type="page"/>
      </w:r>
    </w:p>
    <w:p w14:paraId="167D69D4">
      <w:pPr>
        <w:pStyle w:val="3"/>
        <w:rPr>
          <w:color w:val="auto"/>
          <w:highlight w:val="none"/>
        </w:rPr>
      </w:pPr>
      <w:bookmarkStart w:id="535" w:name="_Toc138236402"/>
      <w:bookmarkStart w:id="536" w:name="_Toc19461"/>
      <w:r>
        <w:rPr>
          <w:rFonts w:hint="eastAsia"/>
          <w:color w:val="auto"/>
          <w:highlight w:val="none"/>
          <w:lang w:val="en-US" w:eastAsia="zh-CN"/>
        </w:rPr>
        <w:t>四</w:t>
      </w:r>
      <w:r>
        <w:rPr>
          <w:rFonts w:hint="eastAsia"/>
          <w:color w:val="auto"/>
          <w:highlight w:val="none"/>
        </w:rPr>
        <w:t>、资格审查资料</w:t>
      </w:r>
      <w:bookmarkEnd w:id="535"/>
      <w:bookmarkEnd w:id="536"/>
    </w:p>
    <w:p w14:paraId="612A7C8C">
      <w:pPr>
        <w:spacing w:line="360" w:lineRule="auto"/>
        <w:rPr>
          <w:rFonts w:ascii="宋体" w:hAnsi="宋体" w:eastAsia="宋体"/>
          <w:color w:val="auto"/>
          <w:sz w:val="24"/>
          <w:szCs w:val="24"/>
          <w:highlight w:val="none"/>
        </w:rPr>
      </w:pPr>
      <w:r>
        <w:rPr>
          <w:rFonts w:hint="eastAsia" w:ascii="宋体" w:hAnsi="宋体" w:eastAsia="宋体"/>
          <w:color w:val="auto"/>
          <w:sz w:val="24"/>
          <w:szCs w:val="24"/>
          <w:highlight w:val="none"/>
        </w:rPr>
        <w:t>根据招标公告“投标人资格要求”提供相关资料。</w:t>
      </w:r>
    </w:p>
    <w:p w14:paraId="2EFD49FE">
      <w:pPr>
        <w:widowControl/>
        <w:jc w:val="left"/>
        <w:rPr>
          <w:rFonts w:ascii="宋体" w:hAnsi="宋体" w:eastAsia="宋体"/>
          <w:b/>
          <w:color w:val="auto"/>
          <w:sz w:val="30"/>
          <w:szCs w:val="30"/>
          <w:highlight w:val="none"/>
        </w:rPr>
      </w:pPr>
      <w:r>
        <w:rPr>
          <w:rFonts w:ascii="宋体" w:hAnsi="宋体" w:eastAsia="宋体"/>
          <w:color w:val="auto"/>
          <w:highlight w:val="none"/>
        </w:rPr>
        <w:br w:type="page"/>
      </w:r>
    </w:p>
    <w:p w14:paraId="7FC570FF">
      <w:pPr>
        <w:pStyle w:val="3"/>
        <w:rPr>
          <w:rFonts w:hint="eastAsia"/>
          <w:color w:val="auto"/>
          <w:highlight w:val="none"/>
        </w:rPr>
      </w:pPr>
      <w:bookmarkStart w:id="537" w:name="_Toc138236403"/>
      <w:bookmarkStart w:id="538" w:name="_Toc31237"/>
      <w:r>
        <w:rPr>
          <w:rFonts w:hint="eastAsia"/>
          <w:color w:val="auto"/>
          <w:highlight w:val="none"/>
          <w:lang w:val="en-US" w:eastAsia="zh-CN"/>
        </w:rPr>
        <w:t>五</w:t>
      </w:r>
      <w:r>
        <w:rPr>
          <w:rFonts w:hint="eastAsia"/>
          <w:color w:val="auto"/>
          <w:highlight w:val="none"/>
        </w:rPr>
        <w:t>、投标人声明</w:t>
      </w:r>
      <w:bookmarkEnd w:id="537"/>
      <w:r>
        <w:rPr>
          <w:rFonts w:hint="eastAsia"/>
          <w:color w:val="auto"/>
          <w:highlight w:val="none"/>
        </w:rPr>
        <w:t>（详见招标公告附件）</w:t>
      </w:r>
      <w:bookmarkEnd w:id="538"/>
    </w:p>
    <w:bookmarkEnd w:id="534"/>
    <w:p w14:paraId="42E4CE1D">
      <w:pPr>
        <w:pStyle w:val="3"/>
        <w:rPr>
          <w:color w:val="auto"/>
          <w:highlight w:val="none"/>
        </w:rPr>
      </w:pPr>
      <w:bookmarkStart w:id="539" w:name="_Toc25520"/>
      <w:bookmarkStart w:id="540" w:name="_Toc138236404"/>
      <w:bookmarkStart w:id="541" w:name="_Toc533084451"/>
      <w:r>
        <w:rPr>
          <w:rFonts w:hint="eastAsia"/>
          <w:color w:val="auto"/>
          <w:highlight w:val="none"/>
          <w:lang w:val="en-US" w:eastAsia="zh-CN"/>
        </w:rPr>
        <w:t>六</w:t>
      </w:r>
      <w:r>
        <w:rPr>
          <w:rFonts w:hint="eastAsia"/>
          <w:color w:val="auto"/>
          <w:highlight w:val="none"/>
        </w:rPr>
        <w:t>、商务部分证明材料</w:t>
      </w:r>
      <w:bookmarkEnd w:id="539"/>
      <w:bookmarkEnd w:id="540"/>
    </w:p>
    <w:bookmarkEnd w:id="541"/>
    <w:p w14:paraId="6EFBCFC2">
      <w:pPr>
        <w:spacing w:line="360" w:lineRule="auto"/>
        <w:rPr>
          <w:rFonts w:ascii="宋体" w:hAnsi="宋体" w:eastAsia="宋体"/>
          <w:color w:val="auto"/>
          <w:sz w:val="24"/>
          <w:szCs w:val="24"/>
          <w:highlight w:val="none"/>
        </w:rPr>
      </w:pPr>
      <w:r>
        <w:rPr>
          <w:rFonts w:hint="eastAsia" w:ascii="宋体" w:hAnsi="宋体" w:eastAsia="宋体"/>
          <w:color w:val="auto"/>
          <w:sz w:val="24"/>
          <w:szCs w:val="24"/>
          <w:highlight w:val="none"/>
        </w:rPr>
        <w:t>根据商务部分评分标准提供相关证明材料。</w:t>
      </w:r>
    </w:p>
    <w:p w14:paraId="437E75E9">
      <w:pPr>
        <w:spacing w:line="360" w:lineRule="auto"/>
        <w:rPr>
          <w:rFonts w:ascii="宋体" w:hAnsi="宋体" w:eastAsia="宋体"/>
          <w:color w:val="auto"/>
          <w:highlight w:val="none"/>
        </w:rPr>
      </w:pPr>
      <w:r>
        <w:rPr>
          <w:rFonts w:ascii="宋体" w:hAnsi="宋体" w:eastAsia="宋体"/>
          <w:color w:val="auto"/>
          <w:sz w:val="24"/>
          <w:szCs w:val="24"/>
          <w:highlight w:val="none"/>
        </w:rPr>
        <w:br w:type="page"/>
      </w:r>
    </w:p>
    <w:p w14:paraId="246C0AB4">
      <w:pPr>
        <w:pStyle w:val="3"/>
        <w:rPr>
          <w:color w:val="auto"/>
          <w:highlight w:val="none"/>
        </w:rPr>
      </w:pPr>
      <w:bookmarkStart w:id="542" w:name="_Toc16925"/>
      <w:bookmarkStart w:id="543" w:name="_Toc138236405"/>
      <w:r>
        <w:rPr>
          <w:rFonts w:hint="eastAsia"/>
          <w:color w:val="auto"/>
          <w:highlight w:val="none"/>
          <w:lang w:val="en-US" w:eastAsia="zh-CN"/>
        </w:rPr>
        <w:t>七</w:t>
      </w:r>
      <w:r>
        <w:rPr>
          <w:rFonts w:hint="eastAsia"/>
          <w:color w:val="auto"/>
          <w:highlight w:val="none"/>
        </w:rPr>
        <w:t>、技术服务方案</w:t>
      </w:r>
      <w:bookmarkEnd w:id="542"/>
      <w:bookmarkEnd w:id="543"/>
    </w:p>
    <w:p w14:paraId="553FD2EB">
      <w:pPr>
        <w:widowControl/>
        <w:jc w:val="left"/>
        <w:rPr>
          <w:rFonts w:ascii="宋体" w:hAnsi="宋体" w:eastAsia="宋体"/>
          <w:color w:val="auto"/>
          <w:sz w:val="24"/>
          <w:szCs w:val="24"/>
          <w:highlight w:val="none"/>
        </w:rPr>
      </w:pPr>
      <w:r>
        <w:rPr>
          <w:rFonts w:hint="eastAsia" w:ascii="宋体" w:hAnsi="宋体" w:eastAsia="宋体"/>
          <w:color w:val="auto"/>
          <w:sz w:val="24"/>
          <w:szCs w:val="24"/>
          <w:highlight w:val="none"/>
        </w:rPr>
        <w:t>根据技术服务方案评分标准自行编制。</w:t>
      </w:r>
    </w:p>
    <w:p w14:paraId="50F1E225">
      <w:pPr>
        <w:widowControl/>
        <w:jc w:val="left"/>
        <w:rPr>
          <w:rFonts w:ascii="宋体" w:hAnsi="宋体" w:eastAsia="宋体"/>
          <w:color w:val="auto"/>
          <w:szCs w:val="24"/>
          <w:highlight w:val="none"/>
        </w:rPr>
      </w:pPr>
      <w:r>
        <w:rPr>
          <w:rFonts w:ascii="宋体" w:hAnsi="宋体" w:eastAsia="宋体"/>
          <w:color w:val="auto"/>
          <w:highlight w:val="none"/>
        </w:rPr>
        <w:br w:type="page"/>
      </w:r>
    </w:p>
    <w:p w14:paraId="2A44843F">
      <w:pPr>
        <w:pStyle w:val="3"/>
        <w:rPr>
          <w:color w:val="auto"/>
          <w:highlight w:val="none"/>
        </w:rPr>
      </w:pPr>
      <w:bookmarkStart w:id="544" w:name="_Toc138236406"/>
      <w:bookmarkStart w:id="545" w:name="_Toc12599"/>
      <w:r>
        <w:rPr>
          <w:rFonts w:hint="eastAsia"/>
          <w:color w:val="auto"/>
          <w:highlight w:val="none"/>
          <w:lang w:val="en-US" w:eastAsia="zh-CN"/>
        </w:rPr>
        <w:t>八</w:t>
      </w:r>
      <w:r>
        <w:rPr>
          <w:rFonts w:hint="eastAsia"/>
          <w:color w:val="auto"/>
          <w:highlight w:val="none"/>
        </w:rPr>
        <w:t>、其他资料</w:t>
      </w:r>
      <w:bookmarkEnd w:id="544"/>
      <w:bookmarkEnd w:id="545"/>
    </w:p>
    <w:p w14:paraId="6E967717">
      <w:pPr>
        <w:spacing w:line="360" w:lineRule="auto"/>
        <w:jc w:val="left"/>
        <w:rPr>
          <w:rFonts w:ascii="宋体" w:hAnsi="宋体" w:eastAsia="宋体"/>
          <w:color w:val="auto"/>
          <w:sz w:val="24"/>
          <w:szCs w:val="24"/>
          <w:highlight w:val="none"/>
        </w:rPr>
      </w:pPr>
      <w:r>
        <w:rPr>
          <w:rFonts w:hint="eastAsia" w:ascii="宋体" w:hAnsi="宋体" w:eastAsia="宋体"/>
          <w:color w:val="auto"/>
          <w:sz w:val="24"/>
          <w:szCs w:val="24"/>
          <w:highlight w:val="none"/>
        </w:rPr>
        <w:t>投标人认为有必要提交的其他资料，格式自定。</w:t>
      </w:r>
    </w:p>
    <w:p w14:paraId="4691F33B">
      <w:pPr>
        <w:widowControl/>
        <w:jc w:val="left"/>
        <w:rPr>
          <w:rFonts w:ascii="宋体" w:hAnsi="宋体" w:eastAsia="宋体"/>
          <w:color w:val="auto"/>
          <w:sz w:val="24"/>
          <w:szCs w:val="24"/>
          <w:highlight w:val="none"/>
        </w:rPr>
      </w:pPr>
    </w:p>
    <w:p w14:paraId="5FED4DA8">
      <w:pPr>
        <w:pStyle w:val="2"/>
        <w:rPr>
          <w:color w:val="auto"/>
          <w:highlight w:val="none"/>
        </w:rPr>
      </w:pPr>
      <w:bookmarkStart w:id="546" w:name="_Toc138236407"/>
      <w:bookmarkStart w:id="547" w:name="_Toc28341"/>
      <w:r>
        <w:rPr>
          <w:rFonts w:hint="eastAsia"/>
          <w:color w:val="auto"/>
          <w:highlight w:val="none"/>
        </w:rPr>
        <w:t>第七章</w:t>
      </w:r>
      <w:r>
        <w:rPr>
          <w:color w:val="auto"/>
          <w:highlight w:val="none"/>
        </w:rPr>
        <w:t xml:space="preserve"> </w:t>
      </w:r>
      <w:r>
        <w:rPr>
          <w:rFonts w:hint="eastAsia"/>
          <w:color w:val="auto"/>
          <w:highlight w:val="none"/>
        </w:rPr>
        <w:t>否决性条款</w:t>
      </w:r>
      <w:bookmarkEnd w:id="546"/>
      <w:bookmarkEnd w:id="547"/>
    </w:p>
    <w:p w14:paraId="3882AFE2">
      <w:pPr>
        <w:widowControl/>
        <w:spacing w:line="480" w:lineRule="auto"/>
        <w:ind w:firstLine="424" w:firstLineChars="176"/>
        <w:jc w:val="left"/>
        <w:rPr>
          <w:rFonts w:ascii="宋体" w:hAnsi="宋体" w:eastAsia="宋体"/>
          <w:b/>
          <w:color w:val="auto"/>
          <w:sz w:val="24"/>
          <w:szCs w:val="24"/>
          <w:highlight w:val="none"/>
        </w:rPr>
      </w:pPr>
      <w:r>
        <w:rPr>
          <w:rFonts w:ascii="宋体" w:hAnsi="宋体" w:eastAsia="宋体"/>
          <w:b/>
          <w:color w:val="auto"/>
          <w:sz w:val="24"/>
          <w:szCs w:val="24"/>
          <w:highlight w:val="none"/>
        </w:rPr>
        <w:t>一、拒绝受理投标文件的情形</w:t>
      </w:r>
    </w:p>
    <w:p w14:paraId="78582ABD">
      <w:pPr>
        <w:widowControl/>
        <w:spacing w:line="480" w:lineRule="auto"/>
        <w:ind w:firstLine="424" w:firstLineChars="176"/>
        <w:jc w:val="left"/>
        <w:rPr>
          <w:rFonts w:ascii="宋体" w:hAnsi="宋体" w:eastAsia="宋体"/>
          <w:b/>
          <w:color w:val="auto"/>
          <w:sz w:val="24"/>
          <w:szCs w:val="24"/>
          <w:highlight w:val="none"/>
          <w:u w:val="single"/>
        </w:rPr>
      </w:pPr>
      <w:r>
        <w:rPr>
          <w:rFonts w:ascii="宋体" w:hAnsi="宋体" w:eastAsia="宋体"/>
          <w:b/>
          <w:color w:val="auto"/>
          <w:sz w:val="24"/>
          <w:szCs w:val="24"/>
          <w:highlight w:val="none"/>
          <w:u w:val="single"/>
        </w:rPr>
        <w:t>1、投标人未在招标公告规定的时间内获取招标文件及办理投标登记；</w:t>
      </w:r>
    </w:p>
    <w:p w14:paraId="4DB8F0B4">
      <w:pPr>
        <w:widowControl/>
        <w:spacing w:line="480" w:lineRule="auto"/>
        <w:ind w:firstLine="424" w:firstLineChars="176"/>
        <w:jc w:val="left"/>
        <w:rPr>
          <w:rFonts w:ascii="宋体" w:hAnsi="宋体" w:eastAsia="宋体"/>
          <w:b/>
          <w:color w:val="auto"/>
          <w:sz w:val="24"/>
          <w:szCs w:val="24"/>
          <w:highlight w:val="none"/>
          <w:u w:val="single"/>
        </w:rPr>
      </w:pPr>
      <w:r>
        <w:rPr>
          <w:rFonts w:ascii="宋体" w:hAnsi="宋体" w:eastAsia="宋体"/>
          <w:b/>
          <w:color w:val="auto"/>
          <w:sz w:val="24"/>
          <w:szCs w:val="24"/>
          <w:highlight w:val="none"/>
          <w:u w:val="single"/>
        </w:rPr>
        <w:t>2、投标人未在招标公告规定的时间内按要求递交投标文件</w:t>
      </w:r>
      <w:r>
        <w:rPr>
          <w:rFonts w:hint="eastAsia" w:ascii="宋体" w:hAnsi="宋体" w:eastAsia="宋体"/>
          <w:b/>
          <w:color w:val="auto"/>
          <w:sz w:val="24"/>
          <w:szCs w:val="24"/>
          <w:highlight w:val="none"/>
          <w:u w:val="single"/>
        </w:rPr>
        <w:t>。</w:t>
      </w:r>
    </w:p>
    <w:p w14:paraId="78AF2333">
      <w:pPr>
        <w:widowControl/>
        <w:spacing w:line="480" w:lineRule="auto"/>
        <w:ind w:firstLine="424" w:firstLineChars="176"/>
        <w:jc w:val="left"/>
        <w:rPr>
          <w:rFonts w:ascii="宋体" w:hAnsi="宋体" w:eastAsia="宋体"/>
          <w:b/>
          <w:color w:val="auto"/>
          <w:sz w:val="24"/>
          <w:szCs w:val="24"/>
          <w:highlight w:val="none"/>
        </w:rPr>
      </w:pPr>
      <w:r>
        <w:rPr>
          <w:rFonts w:hint="eastAsia" w:ascii="宋体" w:hAnsi="宋体" w:eastAsia="宋体"/>
          <w:b/>
          <w:color w:val="auto"/>
          <w:sz w:val="24"/>
          <w:szCs w:val="24"/>
          <w:highlight w:val="none"/>
        </w:rPr>
        <w:t>二、作无效投标的情形</w:t>
      </w:r>
    </w:p>
    <w:p w14:paraId="15759AAB">
      <w:pPr>
        <w:widowControl/>
        <w:spacing w:line="480" w:lineRule="auto"/>
        <w:ind w:firstLine="424" w:firstLineChars="176"/>
        <w:jc w:val="left"/>
        <w:rPr>
          <w:rFonts w:ascii="宋体" w:hAnsi="宋体" w:eastAsia="宋体"/>
          <w:b/>
          <w:color w:val="auto"/>
          <w:sz w:val="24"/>
          <w:szCs w:val="24"/>
          <w:highlight w:val="none"/>
          <w:u w:val="single"/>
        </w:rPr>
      </w:pPr>
      <w:r>
        <w:rPr>
          <w:rFonts w:ascii="宋体" w:hAnsi="宋体" w:eastAsia="宋体"/>
          <w:b/>
          <w:color w:val="auto"/>
          <w:sz w:val="24"/>
          <w:szCs w:val="24"/>
          <w:highlight w:val="none"/>
          <w:u w:val="single"/>
        </w:rPr>
        <w:t>1、投标文件不符合招标文件评标办法中形式评审标准、资格评审标准、响应性评审标准的要求。</w:t>
      </w:r>
    </w:p>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Calisto MT">
    <w:panose1 w:val="02040603050505030304"/>
    <w:charset w:val="00"/>
    <w:family w:val="roman"/>
    <w:pitch w:val="default"/>
    <w:sig w:usb0="00000003" w:usb1="00000000" w:usb2="00000000" w:usb3="00000000" w:csb0="2000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029779">
    <w:pPr>
      <w:pStyle w:val="21"/>
      <w:jc w:val="center"/>
      <w:rPr>
        <w:rFonts w:ascii="宋体" w:hAnsi="宋体"/>
        <w:sz w:val="21"/>
        <w:szCs w:val="21"/>
      </w:rPr>
    </w:pPr>
    <w:r>
      <w:rPr>
        <w:rFonts w:ascii="宋体" w:hAnsi="宋体"/>
        <w:sz w:val="21"/>
        <w:szCs w:val="21"/>
      </w:rPr>
      <w:fldChar w:fldCharType="begin"/>
    </w:r>
    <w:r>
      <w:rPr>
        <w:rFonts w:ascii="宋体" w:hAnsi="宋体"/>
        <w:sz w:val="21"/>
        <w:szCs w:val="21"/>
      </w:rPr>
      <w:instrText xml:space="preserve"> PAGE   \* MERGEFORMAT </w:instrText>
    </w:r>
    <w:r>
      <w:rPr>
        <w:rFonts w:ascii="宋体" w:hAnsi="宋体"/>
        <w:sz w:val="21"/>
        <w:szCs w:val="21"/>
      </w:rPr>
      <w:fldChar w:fldCharType="separate"/>
    </w:r>
    <w:r>
      <w:rPr>
        <w:rFonts w:ascii="宋体" w:hAnsi="宋体"/>
        <w:sz w:val="21"/>
        <w:szCs w:val="21"/>
        <w:lang w:val="zh-CN"/>
      </w:rPr>
      <w:t>10</w:t>
    </w:r>
    <w:r>
      <w:rPr>
        <w:rFonts w:ascii="宋体" w:hAnsi="宋体"/>
        <w:sz w:val="21"/>
        <w:szCs w:val="21"/>
        <w:lang w:val="zh-CN"/>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46897">
    <w:pPr>
      <w:pStyle w:val="21"/>
      <w:framePr w:wrap="around" w:vAnchor="text" w:hAnchor="margin" w:xAlign="right" w:y="1"/>
      <w:rPr>
        <w:rStyle w:val="34"/>
      </w:rPr>
    </w:pPr>
    <w:r>
      <w:fldChar w:fldCharType="begin"/>
    </w:r>
    <w:r>
      <w:rPr>
        <w:rStyle w:val="34"/>
      </w:rPr>
      <w:instrText xml:space="preserve">PAGE  </w:instrText>
    </w:r>
    <w:r>
      <w:fldChar w:fldCharType="end"/>
    </w:r>
  </w:p>
  <w:p w14:paraId="63082502">
    <w:pPr>
      <w:pStyle w:val="21"/>
      <w:ind w:right="360"/>
    </w:pPr>
  </w:p>
  <w:p w14:paraId="595A2344"/>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7837CB"/>
    <w:multiLevelType w:val="multilevel"/>
    <w:tmpl w:val="037837CB"/>
    <w:lvl w:ilvl="0" w:tentative="0">
      <w:start w:val="2"/>
      <w:numFmt w:val="decimal"/>
      <w:lvlText w:val="%1"/>
      <w:lvlJc w:val="left"/>
      <w:pPr>
        <w:ind w:left="360" w:hanging="360"/>
      </w:pPr>
      <w:rPr>
        <w:rFonts w:hint="default"/>
      </w:rPr>
    </w:lvl>
    <w:lvl w:ilvl="1" w:tentative="0">
      <w:start w:val="1"/>
      <w:numFmt w:val="decimal"/>
      <w:lvlText w:val="%1.%2"/>
      <w:lvlJc w:val="left"/>
      <w:pPr>
        <w:ind w:left="780" w:hanging="360"/>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2340" w:hanging="108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540" w:hanging="1440"/>
      </w:pPr>
      <w:rPr>
        <w:rFonts w:hint="default"/>
      </w:rPr>
    </w:lvl>
    <w:lvl w:ilvl="6" w:tentative="0">
      <w:start w:val="1"/>
      <w:numFmt w:val="decimal"/>
      <w:lvlText w:val="%1.%2.%3.%4.%5.%6.%7"/>
      <w:lvlJc w:val="left"/>
      <w:pPr>
        <w:ind w:left="3960" w:hanging="1440"/>
      </w:pPr>
      <w:rPr>
        <w:rFonts w:hint="default"/>
      </w:rPr>
    </w:lvl>
    <w:lvl w:ilvl="7" w:tentative="0">
      <w:start w:val="1"/>
      <w:numFmt w:val="decimal"/>
      <w:lvlText w:val="%1.%2.%3.%4.%5.%6.%7.%8"/>
      <w:lvlJc w:val="left"/>
      <w:pPr>
        <w:ind w:left="4740" w:hanging="1800"/>
      </w:pPr>
      <w:rPr>
        <w:rFonts w:hint="default"/>
      </w:rPr>
    </w:lvl>
    <w:lvl w:ilvl="8" w:tentative="0">
      <w:start w:val="1"/>
      <w:numFmt w:val="decimal"/>
      <w:lvlText w:val="%1.%2.%3.%4.%5.%6.%7.%8.%9"/>
      <w:lvlJc w:val="left"/>
      <w:pPr>
        <w:ind w:left="5160" w:hanging="1800"/>
      </w:pPr>
      <w:rPr>
        <w:rFonts w:hint="default"/>
      </w:rPr>
    </w:lvl>
  </w:abstractNum>
  <w:abstractNum w:abstractNumId="1">
    <w:nsid w:val="10251F4E"/>
    <w:multiLevelType w:val="multilevel"/>
    <w:tmpl w:val="10251F4E"/>
    <w:lvl w:ilvl="0" w:tentative="0">
      <w:start w:val="5"/>
      <w:numFmt w:val="decimal"/>
      <w:lvlText w:val="%1"/>
      <w:lvlJc w:val="left"/>
      <w:pPr>
        <w:ind w:left="360" w:hanging="360"/>
      </w:pPr>
      <w:rPr>
        <w:rFonts w:hint="default"/>
      </w:rPr>
    </w:lvl>
    <w:lvl w:ilvl="1" w:tentative="0">
      <w:start w:val="1"/>
      <w:numFmt w:val="decimal"/>
      <w:lvlText w:val="%1.%2"/>
      <w:lvlJc w:val="left"/>
      <w:pPr>
        <w:ind w:left="780" w:hanging="360"/>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1980" w:hanging="72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180" w:hanging="1080"/>
      </w:pPr>
      <w:rPr>
        <w:rFonts w:hint="default"/>
      </w:rPr>
    </w:lvl>
    <w:lvl w:ilvl="6" w:tentative="0">
      <w:start w:val="1"/>
      <w:numFmt w:val="decimal"/>
      <w:lvlText w:val="%1.%2.%3.%4.%5.%6.%7"/>
      <w:lvlJc w:val="left"/>
      <w:pPr>
        <w:ind w:left="3600" w:hanging="1080"/>
      </w:pPr>
      <w:rPr>
        <w:rFonts w:hint="default"/>
      </w:rPr>
    </w:lvl>
    <w:lvl w:ilvl="7" w:tentative="0">
      <w:start w:val="1"/>
      <w:numFmt w:val="decimal"/>
      <w:lvlText w:val="%1.%2.%3.%4.%5.%6.%7.%8"/>
      <w:lvlJc w:val="left"/>
      <w:pPr>
        <w:ind w:left="4380" w:hanging="1440"/>
      </w:pPr>
      <w:rPr>
        <w:rFonts w:hint="default"/>
      </w:rPr>
    </w:lvl>
    <w:lvl w:ilvl="8" w:tentative="0">
      <w:start w:val="1"/>
      <w:numFmt w:val="decimal"/>
      <w:lvlText w:val="%1.%2.%3.%4.%5.%6.%7.%8.%9"/>
      <w:lvlJc w:val="left"/>
      <w:pPr>
        <w:ind w:left="4800" w:hanging="1440"/>
      </w:pPr>
      <w:rPr>
        <w:rFonts w:hint="default"/>
      </w:rPr>
    </w:lvl>
  </w:abstractNum>
  <w:abstractNum w:abstractNumId="2">
    <w:nsid w:val="19534CBE"/>
    <w:multiLevelType w:val="multilevel"/>
    <w:tmpl w:val="19534CBE"/>
    <w:lvl w:ilvl="0" w:tentative="0">
      <w:start w:val="8"/>
      <w:numFmt w:val="decimal"/>
      <w:lvlText w:val="%1"/>
      <w:lvlJc w:val="left"/>
      <w:pPr>
        <w:ind w:left="360" w:hanging="360"/>
      </w:pPr>
      <w:rPr>
        <w:rFonts w:hint="default"/>
      </w:rPr>
    </w:lvl>
    <w:lvl w:ilvl="1" w:tentative="0">
      <w:start w:val="1"/>
      <w:numFmt w:val="decimal"/>
      <w:lvlText w:val="%1.%2"/>
      <w:lvlJc w:val="left"/>
      <w:pPr>
        <w:ind w:left="780" w:hanging="360"/>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1980" w:hanging="72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180" w:hanging="1080"/>
      </w:pPr>
      <w:rPr>
        <w:rFonts w:hint="default"/>
      </w:rPr>
    </w:lvl>
    <w:lvl w:ilvl="6" w:tentative="0">
      <w:start w:val="1"/>
      <w:numFmt w:val="decimal"/>
      <w:lvlText w:val="%1.%2.%3.%4.%5.%6.%7"/>
      <w:lvlJc w:val="left"/>
      <w:pPr>
        <w:ind w:left="3600" w:hanging="1080"/>
      </w:pPr>
      <w:rPr>
        <w:rFonts w:hint="default"/>
      </w:rPr>
    </w:lvl>
    <w:lvl w:ilvl="7" w:tentative="0">
      <w:start w:val="1"/>
      <w:numFmt w:val="decimal"/>
      <w:lvlText w:val="%1.%2.%3.%4.%5.%6.%7.%8"/>
      <w:lvlJc w:val="left"/>
      <w:pPr>
        <w:ind w:left="4380" w:hanging="1440"/>
      </w:pPr>
      <w:rPr>
        <w:rFonts w:hint="default"/>
      </w:rPr>
    </w:lvl>
    <w:lvl w:ilvl="8" w:tentative="0">
      <w:start w:val="1"/>
      <w:numFmt w:val="decimal"/>
      <w:lvlText w:val="%1.%2.%3.%4.%5.%6.%7.%8.%9"/>
      <w:lvlJc w:val="left"/>
      <w:pPr>
        <w:ind w:left="4800" w:hanging="1440"/>
      </w:pPr>
      <w:rPr>
        <w:rFonts w:hint="default"/>
      </w:rPr>
    </w:lvl>
  </w:abstractNum>
  <w:abstractNum w:abstractNumId="3">
    <w:nsid w:val="1A195761"/>
    <w:multiLevelType w:val="multilevel"/>
    <w:tmpl w:val="1A195761"/>
    <w:lvl w:ilvl="0" w:tentative="0">
      <w:start w:val="11"/>
      <w:numFmt w:val="decimal"/>
      <w:lvlText w:val="%1"/>
      <w:lvlJc w:val="left"/>
      <w:pPr>
        <w:ind w:left="375" w:hanging="375"/>
      </w:pPr>
      <w:rPr>
        <w:rFonts w:hint="default"/>
      </w:rPr>
    </w:lvl>
    <w:lvl w:ilvl="1" w:tentative="0">
      <w:start w:val="1"/>
      <w:numFmt w:val="decimal"/>
      <w:lvlText w:val="%1.%2"/>
      <w:lvlJc w:val="left"/>
      <w:pPr>
        <w:ind w:left="795" w:hanging="375"/>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1980" w:hanging="72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180" w:hanging="1080"/>
      </w:pPr>
      <w:rPr>
        <w:rFonts w:hint="default"/>
      </w:rPr>
    </w:lvl>
    <w:lvl w:ilvl="6" w:tentative="0">
      <w:start w:val="1"/>
      <w:numFmt w:val="decimal"/>
      <w:lvlText w:val="%1.%2.%3.%4.%5.%6.%7"/>
      <w:lvlJc w:val="left"/>
      <w:pPr>
        <w:ind w:left="3600" w:hanging="1080"/>
      </w:pPr>
      <w:rPr>
        <w:rFonts w:hint="default"/>
      </w:rPr>
    </w:lvl>
    <w:lvl w:ilvl="7" w:tentative="0">
      <w:start w:val="1"/>
      <w:numFmt w:val="decimal"/>
      <w:lvlText w:val="%1.%2.%3.%4.%5.%6.%7.%8"/>
      <w:lvlJc w:val="left"/>
      <w:pPr>
        <w:ind w:left="4380" w:hanging="1440"/>
      </w:pPr>
      <w:rPr>
        <w:rFonts w:hint="default"/>
      </w:rPr>
    </w:lvl>
    <w:lvl w:ilvl="8" w:tentative="0">
      <w:start w:val="1"/>
      <w:numFmt w:val="decimal"/>
      <w:lvlText w:val="%1.%2.%3.%4.%5.%6.%7.%8.%9"/>
      <w:lvlJc w:val="left"/>
      <w:pPr>
        <w:ind w:left="4800" w:hanging="1440"/>
      </w:pPr>
      <w:rPr>
        <w:rFonts w:hint="default"/>
      </w:rPr>
    </w:lvl>
  </w:abstractNum>
  <w:abstractNum w:abstractNumId="4">
    <w:nsid w:val="1EA37F28"/>
    <w:multiLevelType w:val="multilevel"/>
    <w:tmpl w:val="1EA37F28"/>
    <w:lvl w:ilvl="0" w:tentative="0">
      <w:start w:val="1"/>
      <w:numFmt w:val="lowerLetter"/>
      <w:lvlText w:val="%1)"/>
      <w:lvlJc w:val="left"/>
      <w:pPr>
        <w:ind w:left="1265" w:hanging="825"/>
      </w:pPr>
      <w:rPr>
        <w:rFonts w:hint="default"/>
      </w:rPr>
    </w:lvl>
    <w:lvl w:ilvl="1" w:tentative="0">
      <w:start w:val="1"/>
      <w:numFmt w:val="lowerLetter"/>
      <w:lvlText w:val="%2)"/>
      <w:lvlJc w:val="left"/>
      <w:pPr>
        <w:ind w:left="1280" w:hanging="420"/>
      </w:pPr>
      <w:rPr>
        <w:rFonts w:hint="eastAsia"/>
      </w:rPr>
    </w:lvl>
    <w:lvl w:ilvl="2" w:tentative="0">
      <w:start w:val="1"/>
      <w:numFmt w:val="lowerRoman"/>
      <w:lvlText w:val="%3."/>
      <w:lvlJc w:val="right"/>
      <w:pPr>
        <w:ind w:left="1700" w:hanging="420"/>
      </w:pPr>
      <w:rPr>
        <w:rFonts w:hint="eastAsia"/>
      </w:rPr>
    </w:lvl>
    <w:lvl w:ilvl="3" w:tentative="0">
      <w:start w:val="1"/>
      <w:numFmt w:val="decimal"/>
      <w:lvlText w:val="%4."/>
      <w:lvlJc w:val="left"/>
      <w:pPr>
        <w:ind w:left="2120" w:hanging="420"/>
      </w:pPr>
      <w:rPr>
        <w:rFonts w:hint="eastAsia"/>
      </w:rPr>
    </w:lvl>
    <w:lvl w:ilvl="4" w:tentative="0">
      <w:start w:val="1"/>
      <w:numFmt w:val="lowerLetter"/>
      <w:lvlText w:val="%5)"/>
      <w:lvlJc w:val="left"/>
      <w:pPr>
        <w:ind w:left="2540" w:hanging="420"/>
      </w:pPr>
      <w:rPr>
        <w:rFonts w:hint="eastAsia"/>
      </w:rPr>
    </w:lvl>
    <w:lvl w:ilvl="5" w:tentative="0">
      <w:start w:val="1"/>
      <w:numFmt w:val="lowerRoman"/>
      <w:lvlText w:val="%6."/>
      <w:lvlJc w:val="right"/>
      <w:pPr>
        <w:ind w:left="2960" w:hanging="420"/>
      </w:pPr>
      <w:rPr>
        <w:rFonts w:hint="eastAsia"/>
      </w:rPr>
    </w:lvl>
    <w:lvl w:ilvl="6" w:tentative="0">
      <w:start w:val="1"/>
      <w:numFmt w:val="decimal"/>
      <w:lvlText w:val="%7."/>
      <w:lvlJc w:val="left"/>
      <w:pPr>
        <w:ind w:left="3380" w:hanging="420"/>
      </w:pPr>
      <w:rPr>
        <w:rFonts w:hint="eastAsia"/>
      </w:rPr>
    </w:lvl>
    <w:lvl w:ilvl="7" w:tentative="0">
      <w:start w:val="1"/>
      <w:numFmt w:val="lowerLetter"/>
      <w:lvlText w:val="%8)"/>
      <w:lvlJc w:val="left"/>
      <w:pPr>
        <w:ind w:left="3800" w:hanging="420"/>
      </w:pPr>
      <w:rPr>
        <w:rFonts w:hint="eastAsia"/>
      </w:rPr>
    </w:lvl>
    <w:lvl w:ilvl="8" w:tentative="0">
      <w:start w:val="1"/>
      <w:numFmt w:val="lowerRoman"/>
      <w:lvlText w:val="%9."/>
      <w:lvlJc w:val="right"/>
      <w:pPr>
        <w:ind w:left="4220" w:hanging="420"/>
      </w:pPr>
      <w:rPr>
        <w:rFonts w:hint="eastAsia"/>
      </w:rPr>
    </w:lvl>
  </w:abstractNum>
  <w:abstractNum w:abstractNumId="5">
    <w:nsid w:val="24260C26"/>
    <w:multiLevelType w:val="multilevel"/>
    <w:tmpl w:val="24260C26"/>
    <w:lvl w:ilvl="0" w:tentative="0">
      <w:start w:val="1"/>
      <w:numFmt w:val="decimal"/>
      <w:lvlText w:val="%1)"/>
      <w:lvlJc w:val="left"/>
      <w:pPr>
        <w:ind w:left="1265" w:hanging="825"/>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6">
    <w:nsid w:val="46834C85"/>
    <w:multiLevelType w:val="multilevel"/>
    <w:tmpl w:val="46834C85"/>
    <w:lvl w:ilvl="0" w:tentative="0">
      <w:start w:val="10"/>
      <w:numFmt w:val="decimal"/>
      <w:lvlText w:val="%1"/>
      <w:lvlJc w:val="left"/>
      <w:pPr>
        <w:ind w:left="375" w:hanging="375"/>
      </w:pPr>
      <w:rPr>
        <w:rFonts w:hint="default"/>
      </w:rPr>
    </w:lvl>
    <w:lvl w:ilvl="1" w:tentative="0">
      <w:start w:val="1"/>
      <w:numFmt w:val="decimal"/>
      <w:lvlText w:val="%1.%2"/>
      <w:lvlJc w:val="left"/>
      <w:pPr>
        <w:ind w:left="795" w:hanging="375"/>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1980" w:hanging="72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180" w:hanging="1080"/>
      </w:pPr>
      <w:rPr>
        <w:rFonts w:hint="default"/>
      </w:rPr>
    </w:lvl>
    <w:lvl w:ilvl="6" w:tentative="0">
      <w:start w:val="1"/>
      <w:numFmt w:val="decimal"/>
      <w:lvlText w:val="%1.%2.%3.%4.%5.%6.%7"/>
      <w:lvlJc w:val="left"/>
      <w:pPr>
        <w:ind w:left="3600" w:hanging="1080"/>
      </w:pPr>
      <w:rPr>
        <w:rFonts w:hint="default"/>
      </w:rPr>
    </w:lvl>
    <w:lvl w:ilvl="7" w:tentative="0">
      <w:start w:val="1"/>
      <w:numFmt w:val="decimal"/>
      <w:lvlText w:val="%1.%2.%3.%4.%5.%6.%7.%8"/>
      <w:lvlJc w:val="left"/>
      <w:pPr>
        <w:ind w:left="4380" w:hanging="1440"/>
      </w:pPr>
      <w:rPr>
        <w:rFonts w:hint="default"/>
      </w:rPr>
    </w:lvl>
    <w:lvl w:ilvl="8" w:tentative="0">
      <w:start w:val="1"/>
      <w:numFmt w:val="decimal"/>
      <w:lvlText w:val="%1.%2.%3.%4.%5.%6.%7.%8.%9"/>
      <w:lvlJc w:val="left"/>
      <w:pPr>
        <w:ind w:left="4800" w:hanging="1440"/>
      </w:pPr>
      <w:rPr>
        <w:rFonts w:hint="default"/>
      </w:rPr>
    </w:lvl>
  </w:abstractNum>
  <w:abstractNum w:abstractNumId="7">
    <w:nsid w:val="486455C0"/>
    <w:multiLevelType w:val="multilevel"/>
    <w:tmpl w:val="486455C0"/>
    <w:lvl w:ilvl="0" w:tentative="0">
      <w:start w:val="1"/>
      <w:numFmt w:val="japaneseCounting"/>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4AB01419"/>
    <w:multiLevelType w:val="multilevel"/>
    <w:tmpl w:val="4AB01419"/>
    <w:lvl w:ilvl="0" w:tentative="0">
      <w:start w:val="9"/>
      <w:numFmt w:val="decimal"/>
      <w:lvlText w:val="%1"/>
      <w:lvlJc w:val="left"/>
      <w:pPr>
        <w:ind w:left="360" w:hanging="360"/>
      </w:pPr>
      <w:rPr>
        <w:rFonts w:hint="default"/>
      </w:rPr>
    </w:lvl>
    <w:lvl w:ilvl="1" w:tentative="0">
      <w:start w:val="1"/>
      <w:numFmt w:val="decimal"/>
      <w:lvlText w:val="%1.%2"/>
      <w:lvlJc w:val="left"/>
      <w:pPr>
        <w:ind w:left="780" w:hanging="360"/>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1980" w:hanging="72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180" w:hanging="1080"/>
      </w:pPr>
      <w:rPr>
        <w:rFonts w:hint="default"/>
      </w:rPr>
    </w:lvl>
    <w:lvl w:ilvl="6" w:tentative="0">
      <w:start w:val="1"/>
      <w:numFmt w:val="decimal"/>
      <w:lvlText w:val="%1.%2.%3.%4.%5.%6.%7"/>
      <w:lvlJc w:val="left"/>
      <w:pPr>
        <w:ind w:left="3600" w:hanging="1080"/>
      </w:pPr>
      <w:rPr>
        <w:rFonts w:hint="default"/>
      </w:rPr>
    </w:lvl>
    <w:lvl w:ilvl="7" w:tentative="0">
      <w:start w:val="1"/>
      <w:numFmt w:val="decimal"/>
      <w:lvlText w:val="%1.%2.%3.%4.%5.%6.%7.%8"/>
      <w:lvlJc w:val="left"/>
      <w:pPr>
        <w:ind w:left="4380" w:hanging="1440"/>
      </w:pPr>
      <w:rPr>
        <w:rFonts w:hint="default"/>
      </w:rPr>
    </w:lvl>
    <w:lvl w:ilvl="8" w:tentative="0">
      <w:start w:val="1"/>
      <w:numFmt w:val="decimal"/>
      <w:lvlText w:val="%1.%2.%3.%4.%5.%6.%7.%8.%9"/>
      <w:lvlJc w:val="left"/>
      <w:pPr>
        <w:ind w:left="4800" w:hanging="1440"/>
      </w:pPr>
      <w:rPr>
        <w:rFonts w:hint="default"/>
      </w:rPr>
    </w:lvl>
  </w:abstractNum>
  <w:abstractNum w:abstractNumId="9">
    <w:nsid w:val="4FAB0684"/>
    <w:multiLevelType w:val="multilevel"/>
    <w:tmpl w:val="4FAB0684"/>
    <w:lvl w:ilvl="0" w:tentative="0">
      <w:start w:val="1"/>
      <w:numFmt w:val="lowerLetter"/>
      <w:lvlText w:val="%1)"/>
      <w:lvlJc w:val="left"/>
      <w:pPr>
        <w:ind w:left="1265" w:hanging="825"/>
      </w:pPr>
      <w:rPr>
        <w:rFonts w:hint="default"/>
      </w:r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10">
    <w:nsid w:val="538134AC"/>
    <w:multiLevelType w:val="multilevel"/>
    <w:tmpl w:val="538134AC"/>
    <w:lvl w:ilvl="0" w:tentative="0">
      <w:start w:val="1"/>
      <w:numFmt w:val="lowerLetter"/>
      <w:lvlText w:val="%1)"/>
      <w:lvlJc w:val="left"/>
      <w:pPr>
        <w:ind w:left="1265" w:hanging="825"/>
      </w:pPr>
      <w:rPr>
        <w:rFonts w:hint="default"/>
      </w:rPr>
    </w:lvl>
    <w:lvl w:ilvl="1" w:tentative="0">
      <w:start w:val="1"/>
      <w:numFmt w:val="lowerLetter"/>
      <w:lvlText w:val="%2)"/>
      <w:lvlJc w:val="left"/>
      <w:pPr>
        <w:ind w:left="1280" w:hanging="420"/>
      </w:pPr>
      <w:rPr>
        <w:rFonts w:hint="eastAsia"/>
      </w:rPr>
    </w:lvl>
    <w:lvl w:ilvl="2" w:tentative="0">
      <w:start w:val="1"/>
      <w:numFmt w:val="lowerRoman"/>
      <w:lvlText w:val="%3."/>
      <w:lvlJc w:val="right"/>
      <w:pPr>
        <w:ind w:left="1700" w:hanging="420"/>
      </w:pPr>
      <w:rPr>
        <w:rFonts w:hint="eastAsia"/>
      </w:rPr>
    </w:lvl>
    <w:lvl w:ilvl="3" w:tentative="0">
      <w:start w:val="1"/>
      <w:numFmt w:val="decimal"/>
      <w:lvlText w:val="%4."/>
      <w:lvlJc w:val="left"/>
      <w:pPr>
        <w:ind w:left="2120" w:hanging="420"/>
      </w:pPr>
      <w:rPr>
        <w:rFonts w:hint="eastAsia"/>
      </w:rPr>
    </w:lvl>
    <w:lvl w:ilvl="4" w:tentative="0">
      <w:start w:val="1"/>
      <w:numFmt w:val="lowerLetter"/>
      <w:lvlText w:val="%5)"/>
      <w:lvlJc w:val="left"/>
      <w:pPr>
        <w:ind w:left="2540" w:hanging="420"/>
      </w:pPr>
      <w:rPr>
        <w:rFonts w:hint="eastAsia"/>
      </w:rPr>
    </w:lvl>
    <w:lvl w:ilvl="5" w:tentative="0">
      <w:start w:val="1"/>
      <w:numFmt w:val="lowerRoman"/>
      <w:lvlText w:val="%6."/>
      <w:lvlJc w:val="right"/>
      <w:pPr>
        <w:ind w:left="2960" w:hanging="420"/>
      </w:pPr>
      <w:rPr>
        <w:rFonts w:hint="eastAsia"/>
      </w:rPr>
    </w:lvl>
    <w:lvl w:ilvl="6" w:tentative="0">
      <w:start w:val="1"/>
      <w:numFmt w:val="decimal"/>
      <w:lvlText w:val="%7."/>
      <w:lvlJc w:val="left"/>
      <w:pPr>
        <w:ind w:left="3380" w:hanging="420"/>
      </w:pPr>
      <w:rPr>
        <w:rFonts w:hint="eastAsia"/>
      </w:rPr>
    </w:lvl>
    <w:lvl w:ilvl="7" w:tentative="0">
      <w:start w:val="1"/>
      <w:numFmt w:val="lowerLetter"/>
      <w:lvlText w:val="%8)"/>
      <w:lvlJc w:val="left"/>
      <w:pPr>
        <w:ind w:left="3800" w:hanging="420"/>
      </w:pPr>
      <w:rPr>
        <w:rFonts w:hint="eastAsia"/>
      </w:rPr>
    </w:lvl>
    <w:lvl w:ilvl="8" w:tentative="0">
      <w:start w:val="1"/>
      <w:numFmt w:val="lowerRoman"/>
      <w:lvlText w:val="%9."/>
      <w:lvlJc w:val="right"/>
      <w:pPr>
        <w:ind w:left="4220" w:hanging="420"/>
      </w:pPr>
      <w:rPr>
        <w:rFonts w:hint="eastAsia"/>
      </w:rPr>
    </w:lvl>
  </w:abstractNum>
  <w:abstractNum w:abstractNumId="11">
    <w:nsid w:val="58575CA4"/>
    <w:multiLevelType w:val="multilevel"/>
    <w:tmpl w:val="58575CA4"/>
    <w:lvl w:ilvl="0" w:tentative="0">
      <w:start w:val="1"/>
      <w:numFmt w:val="decimal"/>
      <w:lvlText w:val="%1"/>
      <w:lvlJc w:val="left"/>
      <w:pPr>
        <w:ind w:left="360" w:hanging="360"/>
      </w:pPr>
      <w:rPr>
        <w:rFonts w:hint="default"/>
      </w:rPr>
    </w:lvl>
    <w:lvl w:ilvl="1" w:tentative="0">
      <w:start w:val="1"/>
      <w:numFmt w:val="decimal"/>
      <w:lvlText w:val="%1.%2"/>
      <w:lvlJc w:val="left"/>
      <w:pPr>
        <w:ind w:left="780" w:hanging="360"/>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2340" w:hanging="108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540" w:hanging="1440"/>
      </w:pPr>
      <w:rPr>
        <w:rFonts w:hint="default"/>
      </w:rPr>
    </w:lvl>
    <w:lvl w:ilvl="6" w:tentative="0">
      <w:start w:val="1"/>
      <w:numFmt w:val="decimal"/>
      <w:lvlText w:val="%1.%2.%3.%4.%5.%6.%7"/>
      <w:lvlJc w:val="left"/>
      <w:pPr>
        <w:ind w:left="3960" w:hanging="1440"/>
      </w:pPr>
      <w:rPr>
        <w:rFonts w:hint="default"/>
      </w:rPr>
    </w:lvl>
    <w:lvl w:ilvl="7" w:tentative="0">
      <w:start w:val="1"/>
      <w:numFmt w:val="decimal"/>
      <w:lvlText w:val="%1.%2.%3.%4.%5.%6.%7.%8"/>
      <w:lvlJc w:val="left"/>
      <w:pPr>
        <w:ind w:left="4740" w:hanging="1800"/>
      </w:pPr>
      <w:rPr>
        <w:rFonts w:hint="default"/>
      </w:rPr>
    </w:lvl>
    <w:lvl w:ilvl="8" w:tentative="0">
      <w:start w:val="1"/>
      <w:numFmt w:val="decimal"/>
      <w:lvlText w:val="%1.%2.%3.%4.%5.%6.%7.%8.%9"/>
      <w:lvlJc w:val="left"/>
      <w:pPr>
        <w:ind w:left="5160" w:hanging="1800"/>
      </w:pPr>
      <w:rPr>
        <w:rFonts w:hint="default"/>
      </w:rPr>
    </w:lvl>
  </w:abstractNum>
  <w:abstractNum w:abstractNumId="12">
    <w:nsid w:val="5E20450C"/>
    <w:multiLevelType w:val="multilevel"/>
    <w:tmpl w:val="5E20450C"/>
    <w:lvl w:ilvl="0" w:tentative="0">
      <w:start w:val="4"/>
      <w:numFmt w:val="decimal"/>
      <w:lvlText w:val="%1"/>
      <w:lvlJc w:val="left"/>
      <w:pPr>
        <w:ind w:left="360" w:hanging="360"/>
      </w:pPr>
      <w:rPr>
        <w:rFonts w:hint="default"/>
      </w:rPr>
    </w:lvl>
    <w:lvl w:ilvl="1" w:tentative="0">
      <w:start w:val="1"/>
      <w:numFmt w:val="decimal"/>
      <w:lvlText w:val="%1.%2"/>
      <w:lvlJc w:val="left"/>
      <w:pPr>
        <w:ind w:left="780" w:hanging="360"/>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2340" w:hanging="108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540" w:hanging="1440"/>
      </w:pPr>
      <w:rPr>
        <w:rFonts w:hint="default"/>
      </w:rPr>
    </w:lvl>
    <w:lvl w:ilvl="6" w:tentative="0">
      <w:start w:val="1"/>
      <w:numFmt w:val="decimal"/>
      <w:lvlText w:val="%1.%2.%3.%4.%5.%6.%7"/>
      <w:lvlJc w:val="left"/>
      <w:pPr>
        <w:ind w:left="3960" w:hanging="1440"/>
      </w:pPr>
      <w:rPr>
        <w:rFonts w:hint="default"/>
      </w:rPr>
    </w:lvl>
    <w:lvl w:ilvl="7" w:tentative="0">
      <w:start w:val="1"/>
      <w:numFmt w:val="decimal"/>
      <w:lvlText w:val="%1.%2.%3.%4.%5.%6.%7.%8"/>
      <w:lvlJc w:val="left"/>
      <w:pPr>
        <w:ind w:left="4740" w:hanging="1800"/>
      </w:pPr>
      <w:rPr>
        <w:rFonts w:hint="default"/>
      </w:rPr>
    </w:lvl>
    <w:lvl w:ilvl="8" w:tentative="0">
      <w:start w:val="1"/>
      <w:numFmt w:val="decimal"/>
      <w:lvlText w:val="%1.%2.%3.%4.%5.%6.%7.%8.%9"/>
      <w:lvlJc w:val="left"/>
      <w:pPr>
        <w:ind w:left="5160" w:hanging="1800"/>
      </w:pPr>
      <w:rPr>
        <w:rFonts w:hint="default"/>
      </w:rPr>
    </w:lvl>
  </w:abstractNum>
  <w:abstractNum w:abstractNumId="13">
    <w:nsid w:val="61E25597"/>
    <w:multiLevelType w:val="multilevel"/>
    <w:tmpl w:val="61E25597"/>
    <w:lvl w:ilvl="0" w:tentative="0">
      <w:start w:val="1"/>
      <w:numFmt w:val="lowerLetter"/>
      <w:lvlText w:val="%1)"/>
      <w:lvlJc w:val="left"/>
      <w:pPr>
        <w:ind w:left="1716" w:hanging="440"/>
      </w:pPr>
    </w:lvl>
    <w:lvl w:ilvl="1" w:tentative="0">
      <w:start w:val="1"/>
      <w:numFmt w:val="japaneseCounting"/>
      <w:lvlText w:val="%2、"/>
      <w:lvlJc w:val="left"/>
      <w:pPr>
        <w:ind w:left="2156" w:hanging="440"/>
      </w:pPr>
      <w:rPr>
        <w:rFonts w:hint="default"/>
      </w:rPr>
    </w:lvl>
    <w:lvl w:ilvl="2" w:tentative="0">
      <w:start w:val="1"/>
      <w:numFmt w:val="lowerRoman"/>
      <w:lvlText w:val="%3."/>
      <w:lvlJc w:val="right"/>
      <w:pPr>
        <w:ind w:left="2596" w:hanging="440"/>
      </w:pPr>
    </w:lvl>
    <w:lvl w:ilvl="3" w:tentative="0">
      <w:start w:val="1"/>
      <w:numFmt w:val="decimal"/>
      <w:lvlText w:val="%4."/>
      <w:lvlJc w:val="left"/>
      <w:pPr>
        <w:ind w:left="3036" w:hanging="440"/>
      </w:pPr>
    </w:lvl>
    <w:lvl w:ilvl="4" w:tentative="0">
      <w:start w:val="1"/>
      <w:numFmt w:val="lowerLetter"/>
      <w:lvlText w:val="%5)"/>
      <w:lvlJc w:val="left"/>
      <w:pPr>
        <w:ind w:left="3476" w:hanging="440"/>
      </w:pPr>
    </w:lvl>
    <w:lvl w:ilvl="5" w:tentative="0">
      <w:start w:val="1"/>
      <w:numFmt w:val="lowerRoman"/>
      <w:lvlText w:val="%6."/>
      <w:lvlJc w:val="right"/>
      <w:pPr>
        <w:ind w:left="3916" w:hanging="440"/>
      </w:pPr>
    </w:lvl>
    <w:lvl w:ilvl="6" w:tentative="0">
      <w:start w:val="1"/>
      <w:numFmt w:val="decimal"/>
      <w:lvlText w:val="%7."/>
      <w:lvlJc w:val="left"/>
      <w:pPr>
        <w:ind w:left="4356" w:hanging="440"/>
      </w:pPr>
    </w:lvl>
    <w:lvl w:ilvl="7" w:tentative="0">
      <w:start w:val="1"/>
      <w:numFmt w:val="lowerLetter"/>
      <w:lvlText w:val="%8)"/>
      <w:lvlJc w:val="left"/>
      <w:pPr>
        <w:ind w:left="4796" w:hanging="440"/>
      </w:pPr>
    </w:lvl>
    <w:lvl w:ilvl="8" w:tentative="0">
      <w:start w:val="1"/>
      <w:numFmt w:val="lowerRoman"/>
      <w:lvlText w:val="%9."/>
      <w:lvlJc w:val="right"/>
      <w:pPr>
        <w:ind w:left="5236" w:hanging="440"/>
      </w:pPr>
    </w:lvl>
  </w:abstractNum>
  <w:abstractNum w:abstractNumId="14">
    <w:nsid w:val="6C2D3C22"/>
    <w:multiLevelType w:val="multilevel"/>
    <w:tmpl w:val="6C2D3C22"/>
    <w:lvl w:ilvl="0" w:tentative="0">
      <w:start w:val="12"/>
      <w:numFmt w:val="decimal"/>
      <w:lvlText w:val="%1"/>
      <w:lvlJc w:val="left"/>
      <w:pPr>
        <w:ind w:left="375" w:hanging="375"/>
      </w:pPr>
      <w:rPr>
        <w:rFonts w:hint="default"/>
      </w:rPr>
    </w:lvl>
    <w:lvl w:ilvl="1" w:tentative="0">
      <w:start w:val="1"/>
      <w:numFmt w:val="decimal"/>
      <w:lvlText w:val="%1.%2"/>
      <w:lvlJc w:val="left"/>
      <w:pPr>
        <w:ind w:left="795" w:hanging="375"/>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1980" w:hanging="72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180" w:hanging="1080"/>
      </w:pPr>
      <w:rPr>
        <w:rFonts w:hint="default"/>
      </w:rPr>
    </w:lvl>
    <w:lvl w:ilvl="6" w:tentative="0">
      <w:start w:val="1"/>
      <w:numFmt w:val="decimal"/>
      <w:lvlText w:val="%1.%2.%3.%4.%5.%6.%7"/>
      <w:lvlJc w:val="left"/>
      <w:pPr>
        <w:ind w:left="3600" w:hanging="1080"/>
      </w:pPr>
      <w:rPr>
        <w:rFonts w:hint="default"/>
      </w:rPr>
    </w:lvl>
    <w:lvl w:ilvl="7" w:tentative="0">
      <w:start w:val="1"/>
      <w:numFmt w:val="decimal"/>
      <w:lvlText w:val="%1.%2.%3.%4.%5.%6.%7.%8"/>
      <w:lvlJc w:val="left"/>
      <w:pPr>
        <w:ind w:left="4380" w:hanging="1440"/>
      </w:pPr>
      <w:rPr>
        <w:rFonts w:hint="default"/>
      </w:rPr>
    </w:lvl>
    <w:lvl w:ilvl="8" w:tentative="0">
      <w:start w:val="1"/>
      <w:numFmt w:val="decimal"/>
      <w:lvlText w:val="%1.%2.%3.%4.%5.%6.%7.%8.%9"/>
      <w:lvlJc w:val="left"/>
      <w:pPr>
        <w:ind w:left="4800" w:hanging="1440"/>
      </w:pPr>
      <w:rPr>
        <w:rFonts w:hint="default"/>
      </w:rPr>
    </w:lvl>
  </w:abstractNum>
  <w:abstractNum w:abstractNumId="15">
    <w:nsid w:val="6D244E7F"/>
    <w:multiLevelType w:val="multilevel"/>
    <w:tmpl w:val="6D244E7F"/>
    <w:lvl w:ilvl="0" w:tentative="0">
      <w:start w:val="1"/>
      <w:numFmt w:val="decimal"/>
      <w:lvlText w:val="%1、"/>
      <w:lvlJc w:val="left"/>
      <w:pPr>
        <w:tabs>
          <w:tab w:val="left" w:pos="0"/>
        </w:tabs>
        <w:ind w:left="0" w:firstLine="397"/>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742742AC"/>
    <w:multiLevelType w:val="multilevel"/>
    <w:tmpl w:val="742742AC"/>
    <w:lvl w:ilvl="0" w:tentative="0">
      <w:start w:val="7"/>
      <w:numFmt w:val="decimal"/>
      <w:lvlText w:val="%1"/>
      <w:lvlJc w:val="left"/>
      <w:pPr>
        <w:ind w:left="360" w:hanging="360"/>
      </w:pPr>
      <w:rPr>
        <w:rFonts w:hint="default"/>
      </w:rPr>
    </w:lvl>
    <w:lvl w:ilvl="1" w:tentative="0">
      <w:start w:val="1"/>
      <w:numFmt w:val="decimal"/>
      <w:lvlText w:val="%1.%2"/>
      <w:lvlJc w:val="left"/>
      <w:pPr>
        <w:ind w:left="780" w:hanging="360"/>
      </w:pPr>
      <w:rPr>
        <w:rFonts w:hint="default"/>
      </w:rPr>
    </w:lvl>
    <w:lvl w:ilvl="2" w:tentative="0">
      <w:start w:val="1"/>
      <w:numFmt w:val="decimal"/>
      <w:lvlText w:val="%1.%2.%3"/>
      <w:lvlJc w:val="left"/>
      <w:pPr>
        <w:ind w:left="1560" w:hanging="720"/>
      </w:pPr>
      <w:rPr>
        <w:rFonts w:hint="default"/>
      </w:rPr>
    </w:lvl>
    <w:lvl w:ilvl="3" w:tentative="0">
      <w:start w:val="1"/>
      <w:numFmt w:val="decimal"/>
      <w:lvlText w:val="%1.%2.%3.%4"/>
      <w:lvlJc w:val="left"/>
      <w:pPr>
        <w:ind w:left="1980" w:hanging="720"/>
      </w:pPr>
      <w:rPr>
        <w:rFonts w:hint="default"/>
      </w:rPr>
    </w:lvl>
    <w:lvl w:ilvl="4" w:tentative="0">
      <w:start w:val="1"/>
      <w:numFmt w:val="decimal"/>
      <w:lvlText w:val="%1.%2.%3.%4.%5"/>
      <w:lvlJc w:val="left"/>
      <w:pPr>
        <w:ind w:left="2760" w:hanging="1080"/>
      </w:pPr>
      <w:rPr>
        <w:rFonts w:hint="default"/>
      </w:rPr>
    </w:lvl>
    <w:lvl w:ilvl="5" w:tentative="0">
      <w:start w:val="1"/>
      <w:numFmt w:val="decimal"/>
      <w:lvlText w:val="%1.%2.%3.%4.%5.%6"/>
      <w:lvlJc w:val="left"/>
      <w:pPr>
        <w:ind w:left="3180" w:hanging="1080"/>
      </w:pPr>
      <w:rPr>
        <w:rFonts w:hint="default"/>
      </w:rPr>
    </w:lvl>
    <w:lvl w:ilvl="6" w:tentative="0">
      <w:start w:val="1"/>
      <w:numFmt w:val="decimal"/>
      <w:lvlText w:val="%1.%2.%3.%4.%5.%6.%7"/>
      <w:lvlJc w:val="left"/>
      <w:pPr>
        <w:ind w:left="3600" w:hanging="1080"/>
      </w:pPr>
      <w:rPr>
        <w:rFonts w:hint="default"/>
      </w:rPr>
    </w:lvl>
    <w:lvl w:ilvl="7" w:tentative="0">
      <w:start w:val="1"/>
      <w:numFmt w:val="decimal"/>
      <w:lvlText w:val="%1.%2.%3.%4.%5.%6.%7.%8"/>
      <w:lvlJc w:val="left"/>
      <w:pPr>
        <w:ind w:left="4380" w:hanging="1440"/>
      </w:pPr>
      <w:rPr>
        <w:rFonts w:hint="default"/>
      </w:rPr>
    </w:lvl>
    <w:lvl w:ilvl="8" w:tentative="0">
      <w:start w:val="1"/>
      <w:numFmt w:val="decimal"/>
      <w:lvlText w:val="%1.%2.%3.%4.%5.%6.%7.%8.%9"/>
      <w:lvlJc w:val="left"/>
      <w:pPr>
        <w:ind w:left="4800" w:hanging="1440"/>
      </w:pPr>
      <w:rPr>
        <w:rFonts w:hint="default"/>
      </w:rPr>
    </w:lvl>
  </w:abstractNum>
  <w:abstractNum w:abstractNumId="17">
    <w:nsid w:val="7DEB6A35"/>
    <w:multiLevelType w:val="multilevel"/>
    <w:tmpl w:val="7DEB6A35"/>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84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7"/>
  </w:num>
  <w:num w:numId="2">
    <w:abstractNumId w:val="11"/>
  </w:num>
  <w:num w:numId="3">
    <w:abstractNumId w:val="0"/>
  </w:num>
  <w:num w:numId="4">
    <w:abstractNumId w:val="12"/>
  </w:num>
  <w:num w:numId="5">
    <w:abstractNumId w:val="1"/>
  </w:num>
  <w:num w:numId="6">
    <w:abstractNumId w:val="4"/>
  </w:num>
  <w:num w:numId="7">
    <w:abstractNumId w:val="9"/>
  </w:num>
  <w:num w:numId="8">
    <w:abstractNumId w:val="10"/>
  </w:num>
  <w:num w:numId="9">
    <w:abstractNumId w:val="16"/>
  </w:num>
  <w:num w:numId="10">
    <w:abstractNumId w:val="2"/>
  </w:num>
  <w:num w:numId="11">
    <w:abstractNumId w:val="8"/>
  </w:num>
  <w:num w:numId="12">
    <w:abstractNumId w:val="5"/>
  </w:num>
  <w:num w:numId="13">
    <w:abstractNumId w:val="13"/>
  </w:num>
  <w:num w:numId="14">
    <w:abstractNumId w:val="6"/>
  </w:num>
  <w:num w:numId="15">
    <w:abstractNumId w:val="3"/>
  </w:num>
  <w:num w:numId="16">
    <w:abstractNumId w:val="14"/>
  </w:num>
  <w:num w:numId="17">
    <w:abstractNumId w:val="7"/>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ZiMjMxNWIwYzNlMDQ4NWViMWU5NWJjNmRjMzIyOTUifQ=="/>
    <w:docVar w:name="KSO_WPS_MARK_KEY" w:val="29b3922e-1932-4e72-9f58-c13a81302596"/>
  </w:docVars>
  <w:rsids>
    <w:rsidRoot w:val="00E47EE4"/>
    <w:rsid w:val="000055B9"/>
    <w:rsid w:val="00015E16"/>
    <w:rsid w:val="00022967"/>
    <w:rsid w:val="00037170"/>
    <w:rsid w:val="00037B31"/>
    <w:rsid w:val="00062ADE"/>
    <w:rsid w:val="00065E2C"/>
    <w:rsid w:val="000710EF"/>
    <w:rsid w:val="00073296"/>
    <w:rsid w:val="00080F01"/>
    <w:rsid w:val="000825C1"/>
    <w:rsid w:val="00091569"/>
    <w:rsid w:val="000937FC"/>
    <w:rsid w:val="000960D7"/>
    <w:rsid w:val="000966A2"/>
    <w:rsid w:val="000A29BC"/>
    <w:rsid w:val="000A70DA"/>
    <w:rsid w:val="000B2C7B"/>
    <w:rsid w:val="000B5678"/>
    <w:rsid w:val="000B6A83"/>
    <w:rsid w:val="000D0009"/>
    <w:rsid w:val="000D60DC"/>
    <w:rsid w:val="000D730E"/>
    <w:rsid w:val="000E0941"/>
    <w:rsid w:val="000E1AB5"/>
    <w:rsid w:val="000E4CAD"/>
    <w:rsid w:val="000E660B"/>
    <w:rsid w:val="000F05B1"/>
    <w:rsid w:val="000F520A"/>
    <w:rsid w:val="00104FCA"/>
    <w:rsid w:val="0010597A"/>
    <w:rsid w:val="00107369"/>
    <w:rsid w:val="00110E9D"/>
    <w:rsid w:val="00114ABE"/>
    <w:rsid w:val="0011603F"/>
    <w:rsid w:val="00121FF8"/>
    <w:rsid w:val="00124311"/>
    <w:rsid w:val="00125E4E"/>
    <w:rsid w:val="00135135"/>
    <w:rsid w:val="00135C7E"/>
    <w:rsid w:val="0013724C"/>
    <w:rsid w:val="00141B46"/>
    <w:rsid w:val="00142808"/>
    <w:rsid w:val="00150115"/>
    <w:rsid w:val="00151805"/>
    <w:rsid w:val="0015379E"/>
    <w:rsid w:val="00154F78"/>
    <w:rsid w:val="00155F59"/>
    <w:rsid w:val="001569A2"/>
    <w:rsid w:val="001619C8"/>
    <w:rsid w:val="00165045"/>
    <w:rsid w:val="001677A3"/>
    <w:rsid w:val="0017173B"/>
    <w:rsid w:val="00173781"/>
    <w:rsid w:val="001866BE"/>
    <w:rsid w:val="00187E4F"/>
    <w:rsid w:val="0019197A"/>
    <w:rsid w:val="00192820"/>
    <w:rsid w:val="00192D11"/>
    <w:rsid w:val="001C0074"/>
    <w:rsid w:val="001C1E3C"/>
    <w:rsid w:val="001C572B"/>
    <w:rsid w:val="001C751E"/>
    <w:rsid w:val="001D7F53"/>
    <w:rsid w:val="001E04D0"/>
    <w:rsid w:val="001E1577"/>
    <w:rsid w:val="001E2FBF"/>
    <w:rsid w:val="001E37B3"/>
    <w:rsid w:val="001F55E1"/>
    <w:rsid w:val="001F5DEE"/>
    <w:rsid w:val="002041DE"/>
    <w:rsid w:val="00204890"/>
    <w:rsid w:val="0020595F"/>
    <w:rsid w:val="0020659B"/>
    <w:rsid w:val="00207B7E"/>
    <w:rsid w:val="00211AB8"/>
    <w:rsid w:val="00216588"/>
    <w:rsid w:val="0022411E"/>
    <w:rsid w:val="0022784D"/>
    <w:rsid w:val="002453EB"/>
    <w:rsid w:val="00254CEA"/>
    <w:rsid w:val="0026138B"/>
    <w:rsid w:val="00262DCA"/>
    <w:rsid w:val="002636D6"/>
    <w:rsid w:val="0027043F"/>
    <w:rsid w:val="00270F67"/>
    <w:rsid w:val="002779B1"/>
    <w:rsid w:val="00281040"/>
    <w:rsid w:val="00281AF3"/>
    <w:rsid w:val="00293172"/>
    <w:rsid w:val="00295B26"/>
    <w:rsid w:val="002A6895"/>
    <w:rsid w:val="002B0BFB"/>
    <w:rsid w:val="002B12AD"/>
    <w:rsid w:val="002B3286"/>
    <w:rsid w:val="002B53A9"/>
    <w:rsid w:val="002B6923"/>
    <w:rsid w:val="002C3EA0"/>
    <w:rsid w:val="002E2084"/>
    <w:rsid w:val="002E377B"/>
    <w:rsid w:val="002E778E"/>
    <w:rsid w:val="002F0AF7"/>
    <w:rsid w:val="002F7705"/>
    <w:rsid w:val="00305942"/>
    <w:rsid w:val="0030691D"/>
    <w:rsid w:val="00321548"/>
    <w:rsid w:val="00323723"/>
    <w:rsid w:val="00325688"/>
    <w:rsid w:val="003315E5"/>
    <w:rsid w:val="00345807"/>
    <w:rsid w:val="00351731"/>
    <w:rsid w:val="00366719"/>
    <w:rsid w:val="0036725C"/>
    <w:rsid w:val="0037130E"/>
    <w:rsid w:val="003713F8"/>
    <w:rsid w:val="00380382"/>
    <w:rsid w:val="00397FFB"/>
    <w:rsid w:val="003A02B7"/>
    <w:rsid w:val="003A79A1"/>
    <w:rsid w:val="003B0DCC"/>
    <w:rsid w:val="003C08B7"/>
    <w:rsid w:val="003C16E0"/>
    <w:rsid w:val="003C2904"/>
    <w:rsid w:val="003C468C"/>
    <w:rsid w:val="003D3B3C"/>
    <w:rsid w:val="003D6393"/>
    <w:rsid w:val="003D6656"/>
    <w:rsid w:val="003E1EBE"/>
    <w:rsid w:val="003E20C9"/>
    <w:rsid w:val="003E26AC"/>
    <w:rsid w:val="003F00BC"/>
    <w:rsid w:val="003F0C33"/>
    <w:rsid w:val="003F10D0"/>
    <w:rsid w:val="003F2253"/>
    <w:rsid w:val="003F357B"/>
    <w:rsid w:val="003F3FC5"/>
    <w:rsid w:val="003F4E4B"/>
    <w:rsid w:val="003F5A23"/>
    <w:rsid w:val="003F771E"/>
    <w:rsid w:val="004044B9"/>
    <w:rsid w:val="004161F6"/>
    <w:rsid w:val="0042548C"/>
    <w:rsid w:val="00427B80"/>
    <w:rsid w:val="00432399"/>
    <w:rsid w:val="004352ED"/>
    <w:rsid w:val="00441BA3"/>
    <w:rsid w:val="00451756"/>
    <w:rsid w:val="00473A01"/>
    <w:rsid w:val="0047706D"/>
    <w:rsid w:val="004827C9"/>
    <w:rsid w:val="0048526B"/>
    <w:rsid w:val="00486642"/>
    <w:rsid w:val="00487406"/>
    <w:rsid w:val="00493EC1"/>
    <w:rsid w:val="00497475"/>
    <w:rsid w:val="00497781"/>
    <w:rsid w:val="004A428C"/>
    <w:rsid w:val="004A4DFD"/>
    <w:rsid w:val="004A7263"/>
    <w:rsid w:val="004B0940"/>
    <w:rsid w:val="004B2B21"/>
    <w:rsid w:val="004B2FF4"/>
    <w:rsid w:val="004B6E72"/>
    <w:rsid w:val="004B7F31"/>
    <w:rsid w:val="004E2CB7"/>
    <w:rsid w:val="004E3F44"/>
    <w:rsid w:val="004F1419"/>
    <w:rsid w:val="004F2647"/>
    <w:rsid w:val="004F2996"/>
    <w:rsid w:val="005049E3"/>
    <w:rsid w:val="00505B63"/>
    <w:rsid w:val="005079E8"/>
    <w:rsid w:val="00512D5E"/>
    <w:rsid w:val="005148ED"/>
    <w:rsid w:val="00521C88"/>
    <w:rsid w:val="00526134"/>
    <w:rsid w:val="00536EF2"/>
    <w:rsid w:val="00537B88"/>
    <w:rsid w:val="00537C9A"/>
    <w:rsid w:val="00542725"/>
    <w:rsid w:val="005442D8"/>
    <w:rsid w:val="00544C99"/>
    <w:rsid w:val="005473A1"/>
    <w:rsid w:val="00560CD2"/>
    <w:rsid w:val="0056361E"/>
    <w:rsid w:val="00563CE6"/>
    <w:rsid w:val="00565A47"/>
    <w:rsid w:val="005734F4"/>
    <w:rsid w:val="00581D16"/>
    <w:rsid w:val="00591E73"/>
    <w:rsid w:val="00592425"/>
    <w:rsid w:val="0059779B"/>
    <w:rsid w:val="005A048E"/>
    <w:rsid w:val="005A7295"/>
    <w:rsid w:val="005A793E"/>
    <w:rsid w:val="005B1457"/>
    <w:rsid w:val="005B20D1"/>
    <w:rsid w:val="005B3603"/>
    <w:rsid w:val="005B58FA"/>
    <w:rsid w:val="005C103D"/>
    <w:rsid w:val="005D2BC0"/>
    <w:rsid w:val="005D5BF0"/>
    <w:rsid w:val="005E07B8"/>
    <w:rsid w:val="005E2136"/>
    <w:rsid w:val="005F3A0C"/>
    <w:rsid w:val="00601A5B"/>
    <w:rsid w:val="006060D6"/>
    <w:rsid w:val="00606E0F"/>
    <w:rsid w:val="00607572"/>
    <w:rsid w:val="00633D1A"/>
    <w:rsid w:val="00637862"/>
    <w:rsid w:val="0063791C"/>
    <w:rsid w:val="00645093"/>
    <w:rsid w:val="006450E1"/>
    <w:rsid w:val="00645165"/>
    <w:rsid w:val="006573D8"/>
    <w:rsid w:val="00660374"/>
    <w:rsid w:val="00664E03"/>
    <w:rsid w:val="006667E9"/>
    <w:rsid w:val="00673420"/>
    <w:rsid w:val="006752D3"/>
    <w:rsid w:val="006775D4"/>
    <w:rsid w:val="00681601"/>
    <w:rsid w:val="00684DCF"/>
    <w:rsid w:val="00696D85"/>
    <w:rsid w:val="0069744E"/>
    <w:rsid w:val="006975C9"/>
    <w:rsid w:val="006A2B0F"/>
    <w:rsid w:val="006B00D5"/>
    <w:rsid w:val="006B1A18"/>
    <w:rsid w:val="006B6D03"/>
    <w:rsid w:val="006C0D69"/>
    <w:rsid w:val="006C71A7"/>
    <w:rsid w:val="006D453D"/>
    <w:rsid w:val="006E0091"/>
    <w:rsid w:val="006E05BE"/>
    <w:rsid w:val="006E2699"/>
    <w:rsid w:val="006F058A"/>
    <w:rsid w:val="006F1104"/>
    <w:rsid w:val="006F4C40"/>
    <w:rsid w:val="006F5AB0"/>
    <w:rsid w:val="006F5B6C"/>
    <w:rsid w:val="006F7EC6"/>
    <w:rsid w:val="00712AC8"/>
    <w:rsid w:val="00713517"/>
    <w:rsid w:val="00714536"/>
    <w:rsid w:val="00726320"/>
    <w:rsid w:val="00733B1E"/>
    <w:rsid w:val="00733C44"/>
    <w:rsid w:val="00736753"/>
    <w:rsid w:val="00754B9E"/>
    <w:rsid w:val="0076064D"/>
    <w:rsid w:val="007833DB"/>
    <w:rsid w:val="007852D1"/>
    <w:rsid w:val="00786C9C"/>
    <w:rsid w:val="00793DFD"/>
    <w:rsid w:val="00793FDA"/>
    <w:rsid w:val="00797DD0"/>
    <w:rsid w:val="007A0846"/>
    <w:rsid w:val="007A1638"/>
    <w:rsid w:val="007A26EE"/>
    <w:rsid w:val="007A2A97"/>
    <w:rsid w:val="007A4701"/>
    <w:rsid w:val="007A4FEF"/>
    <w:rsid w:val="007B06DB"/>
    <w:rsid w:val="007B1759"/>
    <w:rsid w:val="007B2A5B"/>
    <w:rsid w:val="007C0BBF"/>
    <w:rsid w:val="007C1038"/>
    <w:rsid w:val="007C3BA0"/>
    <w:rsid w:val="007C48F2"/>
    <w:rsid w:val="007C5A2C"/>
    <w:rsid w:val="007C6C07"/>
    <w:rsid w:val="007D322F"/>
    <w:rsid w:val="007D6105"/>
    <w:rsid w:val="007D718F"/>
    <w:rsid w:val="007F6434"/>
    <w:rsid w:val="00800D66"/>
    <w:rsid w:val="00801375"/>
    <w:rsid w:val="00811255"/>
    <w:rsid w:val="00822142"/>
    <w:rsid w:val="00831A3F"/>
    <w:rsid w:val="00845BFA"/>
    <w:rsid w:val="00851CA7"/>
    <w:rsid w:val="00857273"/>
    <w:rsid w:val="00861175"/>
    <w:rsid w:val="00861826"/>
    <w:rsid w:val="008654ED"/>
    <w:rsid w:val="00865FAF"/>
    <w:rsid w:val="00876E17"/>
    <w:rsid w:val="00877896"/>
    <w:rsid w:val="00884410"/>
    <w:rsid w:val="00890D31"/>
    <w:rsid w:val="00895C0E"/>
    <w:rsid w:val="00895ED5"/>
    <w:rsid w:val="00896F38"/>
    <w:rsid w:val="008B32D3"/>
    <w:rsid w:val="008B68C8"/>
    <w:rsid w:val="008B6DB5"/>
    <w:rsid w:val="008B7701"/>
    <w:rsid w:val="008C06AF"/>
    <w:rsid w:val="008C0B4D"/>
    <w:rsid w:val="008C0EB2"/>
    <w:rsid w:val="008C5324"/>
    <w:rsid w:val="008C661D"/>
    <w:rsid w:val="008C774A"/>
    <w:rsid w:val="008D33AA"/>
    <w:rsid w:val="008D5689"/>
    <w:rsid w:val="008E10C4"/>
    <w:rsid w:val="008F2EF6"/>
    <w:rsid w:val="008F5AEC"/>
    <w:rsid w:val="008F5F79"/>
    <w:rsid w:val="00906E21"/>
    <w:rsid w:val="00910EF4"/>
    <w:rsid w:val="00917DC9"/>
    <w:rsid w:val="00924700"/>
    <w:rsid w:val="009320F9"/>
    <w:rsid w:val="009444C8"/>
    <w:rsid w:val="009554ED"/>
    <w:rsid w:val="009557CA"/>
    <w:rsid w:val="009570A2"/>
    <w:rsid w:val="00963930"/>
    <w:rsid w:val="00964649"/>
    <w:rsid w:val="009722BF"/>
    <w:rsid w:val="00973FD2"/>
    <w:rsid w:val="009758AD"/>
    <w:rsid w:val="0097694E"/>
    <w:rsid w:val="0097781A"/>
    <w:rsid w:val="0098658F"/>
    <w:rsid w:val="00987DFD"/>
    <w:rsid w:val="009935F1"/>
    <w:rsid w:val="00993F1B"/>
    <w:rsid w:val="00997670"/>
    <w:rsid w:val="009A1DDC"/>
    <w:rsid w:val="009A3818"/>
    <w:rsid w:val="009A3F71"/>
    <w:rsid w:val="009A5689"/>
    <w:rsid w:val="009B4F32"/>
    <w:rsid w:val="009D18C8"/>
    <w:rsid w:val="009E0096"/>
    <w:rsid w:val="009E7C1E"/>
    <w:rsid w:val="009F33B0"/>
    <w:rsid w:val="009F3A22"/>
    <w:rsid w:val="009F5598"/>
    <w:rsid w:val="00A01055"/>
    <w:rsid w:val="00A02074"/>
    <w:rsid w:val="00A0226D"/>
    <w:rsid w:val="00A118CA"/>
    <w:rsid w:val="00A1297F"/>
    <w:rsid w:val="00A15438"/>
    <w:rsid w:val="00A20EDD"/>
    <w:rsid w:val="00A242E5"/>
    <w:rsid w:val="00A26C40"/>
    <w:rsid w:val="00A304BB"/>
    <w:rsid w:val="00A312FC"/>
    <w:rsid w:val="00A332B9"/>
    <w:rsid w:val="00A374DF"/>
    <w:rsid w:val="00A40D57"/>
    <w:rsid w:val="00A42D12"/>
    <w:rsid w:val="00A55B98"/>
    <w:rsid w:val="00A63A5D"/>
    <w:rsid w:val="00A67344"/>
    <w:rsid w:val="00A77A5F"/>
    <w:rsid w:val="00A8021B"/>
    <w:rsid w:val="00A80829"/>
    <w:rsid w:val="00A82AB9"/>
    <w:rsid w:val="00A858AE"/>
    <w:rsid w:val="00A97E3B"/>
    <w:rsid w:val="00AA0786"/>
    <w:rsid w:val="00AA1915"/>
    <w:rsid w:val="00AA1E5B"/>
    <w:rsid w:val="00AA35AE"/>
    <w:rsid w:val="00AA36C6"/>
    <w:rsid w:val="00AA4BE4"/>
    <w:rsid w:val="00AA7231"/>
    <w:rsid w:val="00AB0D05"/>
    <w:rsid w:val="00AB5785"/>
    <w:rsid w:val="00AC2CE5"/>
    <w:rsid w:val="00AC4992"/>
    <w:rsid w:val="00AC595C"/>
    <w:rsid w:val="00AC5D1B"/>
    <w:rsid w:val="00AE3991"/>
    <w:rsid w:val="00AE7C9A"/>
    <w:rsid w:val="00AF1871"/>
    <w:rsid w:val="00AF62E8"/>
    <w:rsid w:val="00B00BD6"/>
    <w:rsid w:val="00B10EB5"/>
    <w:rsid w:val="00B12AC9"/>
    <w:rsid w:val="00B32464"/>
    <w:rsid w:val="00B447AD"/>
    <w:rsid w:val="00B51023"/>
    <w:rsid w:val="00B53706"/>
    <w:rsid w:val="00B57C2C"/>
    <w:rsid w:val="00B60857"/>
    <w:rsid w:val="00B61FB7"/>
    <w:rsid w:val="00B703E9"/>
    <w:rsid w:val="00B825BE"/>
    <w:rsid w:val="00B871D2"/>
    <w:rsid w:val="00B91BAB"/>
    <w:rsid w:val="00B970E4"/>
    <w:rsid w:val="00BA2C82"/>
    <w:rsid w:val="00BA478B"/>
    <w:rsid w:val="00BB0B10"/>
    <w:rsid w:val="00BC1F39"/>
    <w:rsid w:val="00BC2E7D"/>
    <w:rsid w:val="00BD15E3"/>
    <w:rsid w:val="00BD3ECC"/>
    <w:rsid w:val="00BD69DF"/>
    <w:rsid w:val="00BD6D2B"/>
    <w:rsid w:val="00BE1ACE"/>
    <w:rsid w:val="00BE425B"/>
    <w:rsid w:val="00BF4B83"/>
    <w:rsid w:val="00C13237"/>
    <w:rsid w:val="00C13FEC"/>
    <w:rsid w:val="00C2235F"/>
    <w:rsid w:val="00C227D4"/>
    <w:rsid w:val="00C24E1C"/>
    <w:rsid w:val="00C323A9"/>
    <w:rsid w:val="00C43F7F"/>
    <w:rsid w:val="00C442D8"/>
    <w:rsid w:val="00C47AD8"/>
    <w:rsid w:val="00C52810"/>
    <w:rsid w:val="00C53B03"/>
    <w:rsid w:val="00C56625"/>
    <w:rsid w:val="00C617A2"/>
    <w:rsid w:val="00C63578"/>
    <w:rsid w:val="00C6690B"/>
    <w:rsid w:val="00C728A3"/>
    <w:rsid w:val="00CA19DC"/>
    <w:rsid w:val="00CA2989"/>
    <w:rsid w:val="00CB4779"/>
    <w:rsid w:val="00CB5A10"/>
    <w:rsid w:val="00CB7255"/>
    <w:rsid w:val="00CC18CB"/>
    <w:rsid w:val="00CC48C9"/>
    <w:rsid w:val="00CC5119"/>
    <w:rsid w:val="00CD201E"/>
    <w:rsid w:val="00CD3712"/>
    <w:rsid w:val="00CD5BF0"/>
    <w:rsid w:val="00CD79DA"/>
    <w:rsid w:val="00CE04BF"/>
    <w:rsid w:val="00CE097F"/>
    <w:rsid w:val="00CE2357"/>
    <w:rsid w:val="00CE58B7"/>
    <w:rsid w:val="00CF0103"/>
    <w:rsid w:val="00CF0A8F"/>
    <w:rsid w:val="00CF549D"/>
    <w:rsid w:val="00D028A3"/>
    <w:rsid w:val="00D13199"/>
    <w:rsid w:val="00D17BE3"/>
    <w:rsid w:val="00D217D5"/>
    <w:rsid w:val="00D22336"/>
    <w:rsid w:val="00D32DA1"/>
    <w:rsid w:val="00D32E24"/>
    <w:rsid w:val="00D34CCD"/>
    <w:rsid w:val="00D35125"/>
    <w:rsid w:val="00D363EB"/>
    <w:rsid w:val="00D44769"/>
    <w:rsid w:val="00D44DFF"/>
    <w:rsid w:val="00D4671F"/>
    <w:rsid w:val="00D6280F"/>
    <w:rsid w:val="00D64952"/>
    <w:rsid w:val="00D65484"/>
    <w:rsid w:val="00D6588F"/>
    <w:rsid w:val="00D66243"/>
    <w:rsid w:val="00D709D8"/>
    <w:rsid w:val="00D71AA2"/>
    <w:rsid w:val="00D75049"/>
    <w:rsid w:val="00D7626B"/>
    <w:rsid w:val="00D81044"/>
    <w:rsid w:val="00D81CF9"/>
    <w:rsid w:val="00D8326D"/>
    <w:rsid w:val="00D85912"/>
    <w:rsid w:val="00D86B26"/>
    <w:rsid w:val="00D9050E"/>
    <w:rsid w:val="00D90B3C"/>
    <w:rsid w:val="00D9367C"/>
    <w:rsid w:val="00D94790"/>
    <w:rsid w:val="00D97281"/>
    <w:rsid w:val="00DB543C"/>
    <w:rsid w:val="00DB6E69"/>
    <w:rsid w:val="00DC2504"/>
    <w:rsid w:val="00DC4DEA"/>
    <w:rsid w:val="00DC53D9"/>
    <w:rsid w:val="00DC561E"/>
    <w:rsid w:val="00DD2D4B"/>
    <w:rsid w:val="00DD31C3"/>
    <w:rsid w:val="00DD7310"/>
    <w:rsid w:val="00DE11CE"/>
    <w:rsid w:val="00DE3B16"/>
    <w:rsid w:val="00DF4EB2"/>
    <w:rsid w:val="00E036F3"/>
    <w:rsid w:val="00E04CE7"/>
    <w:rsid w:val="00E1096D"/>
    <w:rsid w:val="00E112ED"/>
    <w:rsid w:val="00E14F11"/>
    <w:rsid w:val="00E163FA"/>
    <w:rsid w:val="00E21217"/>
    <w:rsid w:val="00E251A1"/>
    <w:rsid w:val="00E26FD0"/>
    <w:rsid w:val="00E2709B"/>
    <w:rsid w:val="00E332A8"/>
    <w:rsid w:val="00E364FB"/>
    <w:rsid w:val="00E4575F"/>
    <w:rsid w:val="00E47EE4"/>
    <w:rsid w:val="00E500F8"/>
    <w:rsid w:val="00E50405"/>
    <w:rsid w:val="00E50CBA"/>
    <w:rsid w:val="00E57484"/>
    <w:rsid w:val="00E6488B"/>
    <w:rsid w:val="00E66499"/>
    <w:rsid w:val="00E72300"/>
    <w:rsid w:val="00E72634"/>
    <w:rsid w:val="00E771AE"/>
    <w:rsid w:val="00E9189C"/>
    <w:rsid w:val="00E92D6A"/>
    <w:rsid w:val="00EA01CB"/>
    <w:rsid w:val="00EA28B5"/>
    <w:rsid w:val="00EA368D"/>
    <w:rsid w:val="00EA41D8"/>
    <w:rsid w:val="00EB1516"/>
    <w:rsid w:val="00EB396C"/>
    <w:rsid w:val="00EB3CCA"/>
    <w:rsid w:val="00EC4FBB"/>
    <w:rsid w:val="00ED07C8"/>
    <w:rsid w:val="00EE37EA"/>
    <w:rsid w:val="00EF15FB"/>
    <w:rsid w:val="00EF33F2"/>
    <w:rsid w:val="00EF342B"/>
    <w:rsid w:val="00F00255"/>
    <w:rsid w:val="00F022CF"/>
    <w:rsid w:val="00F03ADD"/>
    <w:rsid w:val="00F05F77"/>
    <w:rsid w:val="00F07961"/>
    <w:rsid w:val="00F161BF"/>
    <w:rsid w:val="00F172CF"/>
    <w:rsid w:val="00F264CF"/>
    <w:rsid w:val="00F3383B"/>
    <w:rsid w:val="00F33D3A"/>
    <w:rsid w:val="00F358CB"/>
    <w:rsid w:val="00F44FD9"/>
    <w:rsid w:val="00F4746E"/>
    <w:rsid w:val="00F71D33"/>
    <w:rsid w:val="00F76644"/>
    <w:rsid w:val="00F80420"/>
    <w:rsid w:val="00F80E92"/>
    <w:rsid w:val="00F815B1"/>
    <w:rsid w:val="00F905D1"/>
    <w:rsid w:val="00FA476D"/>
    <w:rsid w:val="00FB1222"/>
    <w:rsid w:val="00FB3EBE"/>
    <w:rsid w:val="00FB7125"/>
    <w:rsid w:val="00FC18BE"/>
    <w:rsid w:val="00FC1D0D"/>
    <w:rsid w:val="00FC4C20"/>
    <w:rsid w:val="00FC5BA1"/>
    <w:rsid w:val="00FD0A94"/>
    <w:rsid w:val="00FD68CE"/>
    <w:rsid w:val="00FD7048"/>
    <w:rsid w:val="00FD7ECB"/>
    <w:rsid w:val="00FE147C"/>
    <w:rsid w:val="00FE1BFA"/>
    <w:rsid w:val="00FE2BD0"/>
    <w:rsid w:val="00FE68EE"/>
    <w:rsid w:val="00FF03CC"/>
    <w:rsid w:val="00FF3407"/>
    <w:rsid w:val="00FF6340"/>
    <w:rsid w:val="013435B5"/>
    <w:rsid w:val="014632E9"/>
    <w:rsid w:val="01671BDD"/>
    <w:rsid w:val="017240DE"/>
    <w:rsid w:val="01AD5116"/>
    <w:rsid w:val="01B36BD0"/>
    <w:rsid w:val="01CD7566"/>
    <w:rsid w:val="01E0373D"/>
    <w:rsid w:val="020A2568"/>
    <w:rsid w:val="02106179"/>
    <w:rsid w:val="0215691D"/>
    <w:rsid w:val="02201D8C"/>
    <w:rsid w:val="023D293E"/>
    <w:rsid w:val="025C7268"/>
    <w:rsid w:val="026343E0"/>
    <w:rsid w:val="026B74AB"/>
    <w:rsid w:val="027D2D3A"/>
    <w:rsid w:val="02B80137"/>
    <w:rsid w:val="02DC2156"/>
    <w:rsid w:val="031406CE"/>
    <w:rsid w:val="03196F07"/>
    <w:rsid w:val="032064E7"/>
    <w:rsid w:val="034877EC"/>
    <w:rsid w:val="035A307B"/>
    <w:rsid w:val="03655CA8"/>
    <w:rsid w:val="036F4D79"/>
    <w:rsid w:val="037E6D6A"/>
    <w:rsid w:val="03942A31"/>
    <w:rsid w:val="03AC38D7"/>
    <w:rsid w:val="041A2F36"/>
    <w:rsid w:val="04545D1C"/>
    <w:rsid w:val="0458580D"/>
    <w:rsid w:val="04620439"/>
    <w:rsid w:val="04806B11"/>
    <w:rsid w:val="048E7480"/>
    <w:rsid w:val="049820AD"/>
    <w:rsid w:val="04B52C5F"/>
    <w:rsid w:val="04B844FD"/>
    <w:rsid w:val="04BA2023"/>
    <w:rsid w:val="04BD7D66"/>
    <w:rsid w:val="04C44C50"/>
    <w:rsid w:val="04F82B4C"/>
    <w:rsid w:val="04FC088E"/>
    <w:rsid w:val="051A51B8"/>
    <w:rsid w:val="052102F4"/>
    <w:rsid w:val="05235E1B"/>
    <w:rsid w:val="05502988"/>
    <w:rsid w:val="05616943"/>
    <w:rsid w:val="05656433"/>
    <w:rsid w:val="058A7C48"/>
    <w:rsid w:val="0599432F"/>
    <w:rsid w:val="05C869C2"/>
    <w:rsid w:val="05D15877"/>
    <w:rsid w:val="05FE4192"/>
    <w:rsid w:val="060043AE"/>
    <w:rsid w:val="0620235A"/>
    <w:rsid w:val="0659586C"/>
    <w:rsid w:val="067032E2"/>
    <w:rsid w:val="06A42F8B"/>
    <w:rsid w:val="06A967F3"/>
    <w:rsid w:val="06C21663"/>
    <w:rsid w:val="06CE625A"/>
    <w:rsid w:val="070E6657"/>
    <w:rsid w:val="07832BA1"/>
    <w:rsid w:val="07852DBD"/>
    <w:rsid w:val="07B70A9C"/>
    <w:rsid w:val="07C136C9"/>
    <w:rsid w:val="07CD4764"/>
    <w:rsid w:val="07E07FF3"/>
    <w:rsid w:val="07EE235B"/>
    <w:rsid w:val="08057A5A"/>
    <w:rsid w:val="081E6D6D"/>
    <w:rsid w:val="086C1887"/>
    <w:rsid w:val="08874912"/>
    <w:rsid w:val="088F4FF7"/>
    <w:rsid w:val="089B03BE"/>
    <w:rsid w:val="08AE1E9F"/>
    <w:rsid w:val="08B66FA6"/>
    <w:rsid w:val="08B84ACC"/>
    <w:rsid w:val="08D613F6"/>
    <w:rsid w:val="08D86F1C"/>
    <w:rsid w:val="08E41D65"/>
    <w:rsid w:val="08E91129"/>
    <w:rsid w:val="08F20EB0"/>
    <w:rsid w:val="091F4B4B"/>
    <w:rsid w:val="093323A4"/>
    <w:rsid w:val="09342499"/>
    <w:rsid w:val="09410F65"/>
    <w:rsid w:val="094B1FA0"/>
    <w:rsid w:val="095E38C5"/>
    <w:rsid w:val="096D58B6"/>
    <w:rsid w:val="09AA6B0A"/>
    <w:rsid w:val="0A474359"/>
    <w:rsid w:val="0A4A209B"/>
    <w:rsid w:val="0A5371A2"/>
    <w:rsid w:val="0A64315D"/>
    <w:rsid w:val="0A691990"/>
    <w:rsid w:val="0A982E07"/>
    <w:rsid w:val="0ABD461B"/>
    <w:rsid w:val="0AE0030A"/>
    <w:rsid w:val="0AF65D7F"/>
    <w:rsid w:val="0AFC2861"/>
    <w:rsid w:val="0B1D155E"/>
    <w:rsid w:val="0B512FB6"/>
    <w:rsid w:val="0B554854"/>
    <w:rsid w:val="0B7A42BB"/>
    <w:rsid w:val="0B845139"/>
    <w:rsid w:val="0B8C3FEE"/>
    <w:rsid w:val="0B8C5471"/>
    <w:rsid w:val="0BB84DE3"/>
    <w:rsid w:val="0BC23681"/>
    <w:rsid w:val="0BED7182"/>
    <w:rsid w:val="0BF53E4F"/>
    <w:rsid w:val="0C1C1816"/>
    <w:rsid w:val="0C58038D"/>
    <w:rsid w:val="0C684A5B"/>
    <w:rsid w:val="0C943AA2"/>
    <w:rsid w:val="0CA9339E"/>
    <w:rsid w:val="0CAC4948"/>
    <w:rsid w:val="0D4C7ED9"/>
    <w:rsid w:val="0DCD6ED2"/>
    <w:rsid w:val="0DF50570"/>
    <w:rsid w:val="0E2055ED"/>
    <w:rsid w:val="0E39045D"/>
    <w:rsid w:val="0E460DCC"/>
    <w:rsid w:val="0E4B1F3E"/>
    <w:rsid w:val="0E6F3E7F"/>
    <w:rsid w:val="0E715E49"/>
    <w:rsid w:val="0EB16245"/>
    <w:rsid w:val="0EB9159E"/>
    <w:rsid w:val="0ED50006"/>
    <w:rsid w:val="0ED64694"/>
    <w:rsid w:val="0F0071CD"/>
    <w:rsid w:val="0F1B5DB5"/>
    <w:rsid w:val="0F263D4E"/>
    <w:rsid w:val="0F2A424A"/>
    <w:rsid w:val="0F2F1860"/>
    <w:rsid w:val="0F4470B9"/>
    <w:rsid w:val="0F4A0448"/>
    <w:rsid w:val="0F672DA8"/>
    <w:rsid w:val="0F6C6610"/>
    <w:rsid w:val="0F706100"/>
    <w:rsid w:val="0F73174D"/>
    <w:rsid w:val="0F7554C5"/>
    <w:rsid w:val="0F9C6EF5"/>
    <w:rsid w:val="0FA43FFC"/>
    <w:rsid w:val="0FBD50BE"/>
    <w:rsid w:val="0FC14BAE"/>
    <w:rsid w:val="0FED7751"/>
    <w:rsid w:val="100D1BA1"/>
    <w:rsid w:val="10262C63"/>
    <w:rsid w:val="10392996"/>
    <w:rsid w:val="104F35D8"/>
    <w:rsid w:val="10725EA8"/>
    <w:rsid w:val="10B65082"/>
    <w:rsid w:val="10C304B2"/>
    <w:rsid w:val="10EC7A09"/>
    <w:rsid w:val="110805BA"/>
    <w:rsid w:val="11162CD7"/>
    <w:rsid w:val="11447845"/>
    <w:rsid w:val="114E2471"/>
    <w:rsid w:val="116021A5"/>
    <w:rsid w:val="116752E1"/>
    <w:rsid w:val="11965BC6"/>
    <w:rsid w:val="11A958FA"/>
    <w:rsid w:val="11AB1672"/>
    <w:rsid w:val="11AC53EA"/>
    <w:rsid w:val="11BF511D"/>
    <w:rsid w:val="11D30BC8"/>
    <w:rsid w:val="11D81D3B"/>
    <w:rsid w:val="11E608FC"/>
    <w:rsid w:val="11F474BA"/>
    <w:rsid w:val="120E7E53"/>
    <w:rsid w:val="12135469"/>
    <w:rsid w:val="12174F59"/>
    <w:rsid w:val="121C256F"/>
    <w:rsid w:val="122B4561"/>
    <w:rsid w:val="123478B9"/>
    <w:rsid w:val="12647A72"/>
    <w:rsid w:val="127203E1"/>
    <w:rsid w:val="129E4D32"/>
    <w:rsid w:val="12A367ED"/>
    <w:rsid w:val="12AD1419"/>
    <w:rsid w:val="12B502CE"/>
    <w:rsid w:val="12B5207C"/>
    <w:rsid w:val="12B96010"/>
    <w:rsid w:val="12BB58E4"/>
    <w:rsid w:val="12E34E3B"/>
    <w:rsid w:val="13826402"/>
    <w:rsid w:val="13916645"/>
    <w:rsid w:val="1393060F"/>
    <w:rsid w:val="13E95EDE"/>
    <w:rsid w:val="13EE5846"/>
    <w:rsid w:val="13F866C4"/>
    <w:rsid w:val="14171240"/>
    <w:rsid w:val="14294AD0"/>
    <w:rsid w:val="144638D4"/>
    <w:rsid w:val="144B0EEA"/>
    <w:rsid w:val="147C72F5"/>
    <w:rsid w:val="14882BC6"/>
    <w:rsid w:val="14CD5DA3"/>
    <w:rsid w:val="14E629C1"/>
    <w:rsid w:val="14F21366"/>
    <w:rsid w:val="14FB46BE"/>
    <w:rsid w:val="15064E11"/>
    <w:rsid w:val="151412DC"/>
    <w:rsid w:val="15347BD0"/>
    <w:rsid w:val="153951E6"/>
    <w:rsid w:val="154F67B8"/>
    <w:rsid w:val="15521355"/>
    <w:rsid w:val="15610DE5"/>
    <w:rsid w:val="157224A6"/>
    <w:rsid w:val="157B75AD"/>
    <w:rsid w:val="15B036FB"/>
    <w:rsid w:val="163B0AEA"/>
    <w:rsid w:val="163F4A7E"/>
    <w:rsid w:val="167069E6"/>
    <w:rsid w:val="168B1A72"/>
    <w:rsid w:val="169A3A63"/>
    <w:rsid w:val="16A5323E"/>
    <w:rsid w:val="16C136E5"/>
    <w:rsid w:val="16CA07EC"/>
    <w:rsid w:val="16D231FD"/>
    <w:rsid w:val="16ED3171"/>
    <w:rsid w:val="17780248"/>
    <w:rsid w:val="179E3A27"/>
    <w:rsid w:val="17A252C5"/>
    <w:rsid w:val="17A821AF"/>
    <w:rsid w:val="17B172B6"/>
    <w:rsid w:val="17D336D0"/>
    <w:rsid w:val="17EC4792"/>
    <w:rsid w:val="180C273E"/>
    <w:rsid w:val="1816180F"/>
    <w:rsid w:val="18185587"/>
    <w:rsid w:val="18221F62"/>
    <w:rsid w:val="18226406"/>
    <w:rsid w:val="183C74C7"/>
    <w:rsid w:val="183D4FEE"/>
    <w:rsid w:val="18707171"/>
    <w:rsid w:val="18860743"/>
    <w:rsid w:val="18924BD2"/>
    <w:rsid w:val="18BF1EA7"/>
    <w:rsid w:val="18C80900"/>
    <w:rsid w:val="18CB43A7"/>
    <w:rsid w:val="18D25736"/>
    <w:rsid w:val="190A1374"/>
    <w:rsid w:val="190F0738"/>
    <w:rsid w:val="19445F08"/>
    <w:rsid w:val="196C5B8A"/>
    <w:rsid w:val="19836A30"/>
    <w:rsid w:val="1988673C"/>
    <w:rsid w:val="19B66E06"/>
    <w:rsid w:val="19CF7EC7"/>
    <w:rsid w:val="1A02029D"/>
    <w:rsid w:val="1A756CC1"/>
    <w:rsid w:val="1A824F3A"/>
    <w:rsid w:val="1A9B5FFB"/>
    <w:rsid w:val="1AC35C7E"/>
    <w:rsid w:val="1AC9700C"/>
    <w:rsid w:val="1AE87493"/>
    <w:rsid w:val="1B486183"/>
    <w:rsid w:val="1B6C00C4"/>
    <w:rsid w:val="1B7900EB"/>
    <w:rsid w:val="1BA15893"/>
    <w:rsid w:val="1BB27AA1"/>
    <w:rsid w:val="1BC51582"/>
    <w:rsid w:val="1BCC0B62"/>
    <w:rsid w:val="1BE53398"/>
    <w:rsid w:val="1C057BD0"/>
    <w:rsid w:val="1C2D7127"/>
    <w:rsid w:val="1C381D54"/>
    <w:rsid w:val="1C4C4C4D"/>
    <w:rsid w:val="1C80194D"/>
    <w:rsid w:val="1C874A89"/>
    <w:rsid w:val="1CA7512B"/>
    <w:rsid w:val="1CC27043"/>
    <w:rsid w:val="1CFC0FD3"/>
    <w:rsid w:val="1D077978"/>
    <w:rsid w:val="1D0D1432"/>
    <w:rsid w:val="1D1C78C7"/>
    <w:rsid w:val="1D28626C"/>
    <w:rsid w:val="1D547061"/>
    <w:rsid w:val="1D5726AE"/>
    <w:rsid w:val="1D691539"/>
    <w:rsid w:val="1D774AFE"/>
    <w:rsid w:val="1D9C6312"/>
    <w:rsid w:val="1DE61A60"/>
    <w:rsid w:val="1DF148B0"/>
    <w:rsid w:val="1E0345E3"/>
    <w:rsid w:val="1E1660C5"/>
    <w:rsid w:val="1E3173A3"/>
    <w:rsid w:val="1E326C77"/>
    <w:rsid w:val="1E3649B9"/>
    <w:rsid w:val="1E6D7CAF"/>
    <w:rsid w:val="1E796654"/>
    <w:rsid w:val="1E7E3C6A"/>
    <w:rsid w:val="1E9D67E6"/>
    <w:rsid w:val="1EA9518B"/>
    <w:rsid w:val="1EB83620"/>
    <w:rsid w:val="1EDA3596"/>
    <w:rsid w:val="1EE47F71"/>
    <w:rsid w:val="1EF06916"/>
    <w:rsid w:val="1F0C571A"/>
    <w:rsid w:val="1F5A6485"/>
    <w:rsid w:val="1F7C289F"/>
    <w:rsid w:val="1FA72770"/>
    <w:rsid w:val="1FF65227"/>
    <w:rsid w:val="200D34F7"/>
    <w:rsid w:val="2011123A"/>
    <w:rsid w:val="20280331"/>
    <w:rsid w:val="203647FC"/>
    <w:rsid w:val="204A474C"/>
    <w:rsid w:val="205D447F"/>
    <w:rsid w:val="20943C19"/>
    <w:rsid w:val="20992FDD"/>
    <w:rsid w:val="20A16930"/>
    <w:rsid w:val="20E029BA"/>
    <w:rsid w:val="20E22BD6"/>
    <w:rsid w:val="20EE157B"/>
    <w:rsid w:val="21076199"/>
    <w:rsid w:val="21260D15"/>
    <w:rsid w:val="2144119B"/>
    <w:rsid w:val="215D04AF"/>
    <w:rsid w:val="21676C37"/>
    <w:rsid w:val="216A62E4"/>
    <w:rsid w:val="21817CF9"/>
    <w:rsid w:val="21894E00"/>
    <w:rsid w:val="219C4B33"/>
    <w:rsid w:val="219F2875"/>
    <w:rsid w:val="21B225A8"/>
    <w:rsid w:val="21CB366A"/>
    <w:rsid w:val="2234120F"/>
    <w:rsid w:val="223B434C"/>
    <w:rsid w:val="225C42C2"/>
    <w:rsid w:val="227427FB"/>
    <w:rsid w:val="22857CBD"/>
    <w:rsid w:val="22873A35"/>
    <w:rsid w:val="229D125A"/>
    <w:rsid w:val="22AF0896"/>
    <w:rsid w:val="22B06CF8"/>
    <w:rsid w:val="22C750B8"/>
    <w:rsid w:val="22C75BE0"/>
    <w:rsid w:val="22CA2E95"/>
    <w:rsid w:val="22E542B8"/>
    <w:rsid w:val="230961F8"/>
    <w:rsid w:val="232079E6"/>
    <w:rsid w:val="232748D0"/>
    <w:rsid w:val="23360FB7"/>
    <w:rsid w:val="236C49D9"/>
    <w:rsid w:val="237D399C"/>
    <w:rsid w:val="23AD74CB"/>
    <w:rsid w:val="23B34BD7"/>
    <w:rsid w:val="23BC326A"/>
    <w:rsid w:val="23D762F6"/>
    <w:rsid w:val="23E66539"/>
    <w:rsid w:val="23F549CE"/>
    <w:rsid w:val="23FC3FAF"/>
    <w:rsid w:val="24217571"/>
    <w:rsid w:val="24305A06"/>
    <w:rsid w:val="243A6885"/>
    <w:rsid w:val="244020ED"/>
    <w:rsid w:val="24431BDE"/>
    <w:rsid w:val="24507E57"/>
    <w:rsid w:val="246F4781"/>
    <w:rsid w:val="248144B4"/>
    <w:rsid w:val="24B959FC"/>
    <w:rsid w:val="24CC3981"/>
    <w:rsid w:val="24D53C69"/>
    <w:rsid w:val="24D97E4C"/>
    <w:rsid w:val="24FA6740"/>
    <w:rsid w:val="25284930"/>
    <w:rsid w:val="25493224"/>
    <w:rsid w:val="254E25E8"/>
    <w:rsid w:val="259A75DB"/>
    <w:rsid w:val="25CD5C03"/>
    <w:rsid w:val="25DE6558"/>
    <w:rsid w:val="25DF5936"/>
    <w:rsid w:val="25E1345C"/>
    <w:rsid w:val="25FA451E"/>
    <w:rsid w:val="2604714B"/>
    <w:rsid w:val="26243349"/>
    <w:rsid w:val="263C0693"/>
    <w:rsid w:val="263E265D"/>
    <w:rsid w:val="263E318C"/>
    <w:rsid w:val="265A320F"/>
    <w:rsid w:val="26760048"/>
    <w:rsid w:val="26795443"/>
    <w:rsid w:val="267A11BB"/>
    <w:rsid w:val="268362C1"/>
    <w:rsid w:val="269009DE"/>
    <w:rsid w:val="26920BFA"/>
    <w:rsid w:val="26AF355A"/>
    <w:rsid w:val="26E03714"/>
    <w:rsid w:val="26F15921"/>
    <w:rsid w:val="26F31699"/>
    <w:rsid w:val="26FE003E"/>
    <w:rsid w:val="27392E24"/>
    <w:rsid w:val="27427F2B"/>
    <w:rsid w:val="275D2FB6"/>
    <w:rsid w:val="276A7481"/>
    <w:rsid w:val="277D71B5"/>
    <w:rsid w:val="27AE3812"/>
    <w:rsid w:val="27DC037F"/>
    <w:rsid w:val="27DD40F7"/>
    <w:rsid w:val="280E42B1"/>
    <w:rsid w:val="28101DD7"/>
    <w:rsid w:val="283278CD"/>
    <w:rsid w:val="289F315B"/>
    <w:rsid w:val="28A644E9"/>
    <w:rsid w:val="28BC1F5F"/>
    <w:rsid w:val="28EA087A"/>
    <w:rsid w:val="28FD4F8C"/>
    <w:rsid w:val="291C47AB"/>
    <w:rsid w:val="292813A2"/>
    <w:rsid w:val="29361D11"/>
    <w:rsid w:val="293B2E83"/>
    <w:rsid w:val="293B7327"/>
    <w:rsid w:val="294E705B"/>
    <w:rsid w:val="295B3526"/>
    <w:rsid w:val="2964062C"/>
    <w:rsid w:val="296A3769"/>
    <w:rsid w:val="29785E86"/>
    <w:rsid w:val="297B7724"/>
    <w:rsid w:val="2987431B"/>
    <w:rsid w:val="29AF561F"/>
    <w:rsid w:val="29BD5F8E"/>
    <w:rsid w:val="2A104310"/>
    <w:rsid w:val="2A216423"/>
    <w:rsid w:val="2A247DBB"/>
    <w:rsid w:val="2A3C5105"/>
    <w:rsid w:val="2A41096D"/>
    <w:rsid w:val="2A4B359A"/>
    <w:rsid w:val="2A6428AE"/>
    <w:rsid w:val="2A8B1BE9"/>
    <w:rsid w:val="2A9A62D0"/>
    <w:rsid w:val="2ACE1AD5"/>
    <w:rsid w:val="2AD215C5"/>
    <w:rsid w:val="2ADB00E5"/>
    <w:rsid w:val="2B34402E"/>
    <w:rsid w:val="2B397896"/>
    <w:rsid w:val="2B400C25"/>
    <w:rsid w:val="2B560ED0"/>
    <w:rsid w:val="2B667F60"/>
    <w:rsid w:val="2B74371E"/>
    <w:rsid w:val="2B836D64"/>
    <w:rsid w:val="2B966A97"/>
    <w:rsid w:val="2BAC6AC0"/>
    <w:rsid w:val="2BB1567F"/>
    <w:rsid w:val="2BC76C50"/>
    <w:rsid w:val="2BF832AE"/>
    <w:rsid w:val="2BFD08C4"/>
    <w:rsid w:val="2C405C16"/>
    <w:rsid w:val="2C7A0167"/>
    <w:rsid w:val="2C7C7A3B"/>
    <w:rsid w:val="2C9F3729"/>
    <w:rsid w:val="2C9F7BCD"/>
    <w:rsid w:val="2CA86A82"/>
    <w:rsid w:val="2CE11F94"/>
    <w:rsid w:val="2D0D2D89"/>
    <w:rsid w:val="2D29051C"/>
    <w:rsid w:val="2D5A0DE4"/>
    <w:rsid w:val="2D80355B"/>
    <w:rsid w:val="2D821A6D"/>
    <w:rsid w:val="2D852054"/>
    <w:rsid w:val="2D947006"/>
    <w:rsid w:val="2DA27975"/>
    <w:rsid w:val="2DAF3E40"/>
    <w:rsid w:val="2DE55AB4"/>
    <w:rsid w:val="2E0423DE"/>
    <w:rsid w:val="2E053A60"/>
    <w:rsid w:val="2E0979F4"/>
    <w:rsid w:val="2E133665"/>
    <w:rsid w:val="2E187C37"/>
    <w:rsid w:val="2E2760CC"/>
    <w:rsid w:val="2E81758A"/>
    <w:rsid w:val="2EAB2859"/>
    <w:rsid w:val="2ED718A0"/>
    <w:rsid w:val="2EDD678B"/>
    <w:rsid w:val="2EDF2503"/>
    <w:rsid w:val="2EE30245"/>
    <w:rsid w:val="2F1E127D"/>
    <w:rsid w:val="2F3445FD"/>
    <w:rsid w:val="2F560A17"/>
    <w:rsid w:val="2F5966A2"/>
    <w:rsid w:val="2F7D2448"/>
    <w:rsid w:val="2FA66712"/>
    <w:rsid w:val="2FAF1ED5"/>
    <w:rsid w:val="2FCC2A87"/>
    <w:rsid w:val="2FD91648"/>
    <w:rsid w:val="3049232A"/>
    <w:rsid w:val="30580363"/>
    <w:rsid w:val="30647164"/>
    <w:rsid w:val="30696528"/>
    <w:rsid w:val="30B1562D"/>
    <w:rsid w:val="30C039DB"/>
    <w:rsid w:val="30C9346B"/>
    <w:rsid w:val="30CC4D09"/>
    <w:rsid w:val="310D15A9"/>
    <w:rsid w:val="310E70CF"/>
    <w:rsid w:val="313C59EB"/>
    <w:rsid w:val="313E79B5"/>
    <w:rsid w:val="3159659D"/>
    <w:rsid w:val="3166515D"/>
    <w:rsid w:val="3186135C"/>
    <w:rsid w:val="3287538B"/>
    <w:rsid w:val="32B06690"/>
    <w:rsid w:val="32B7395D"/>
    <w:rsid w:val="32BB5035"/>
    <w:rsid w:val="32BF0681"/>
    <w:rsid w:val="32C24615"/>
    <w:rsid w:val="32D3412D"/>
    <w:rsid w:val="32FA3DAF"/>
    <w:rsid w:val="330B38C7"/>
    <w:rsid w:val="3333106F"/>
    <w:rsid w:val="3341553A"/>
    <w:rsid w:val="3344502A"/>
    <w:rsid w:val="337376BE"/>
    <w:rsid w:val="337A0A4C"/>
    <w:rsid w:val="33843679"/>
    <w:rsid w:val="33856B17"/>
    <w:rsid w:val="33995376"/>
    <w:rsid w:val="33A930DF"/>
    <w:rsid w:val="33AE638A"/>
    <w:rsid w:val="33BA709B"/>
    <w:rsid w:val="33C5616B"/>
    <w:rsid w:val="33ED2E70"/>
    <w:rsid w:val="34030A42"/>
    <w:rsid w:val="34270BD4"/>
    <w:rsid w:val="34476B80"/>
    <w:rsid w:val="347656B7"/>
    <w:rsid w:val="34814EDB"/>
    <w:rsid w:val="34825E0A"/>
    <w:rsid w:val="34847DD4"/>
    <w:rsid w:val="348576A9"/>
    <w:rsid w:val="34A83397"/>
    <w:rsid w:val="34A9783B"/>
    <w:rsid w:val="34BD6E42"/>
    <w:rsid w:val="34D10B40"/>
    <w:rsid w:val="34DA79F4"/>
    <w:rsid w:val="34FF56AD"/>
    <w:rsid w:val="351C000D"/>
    <w:rsid w:val="352D2DE1"/>
    <w:rsid w:val="35581635"/>
    <w:rsid w:val="35675000"/>
    <w:rsid w:val="357240D1"/>
    <w:rsid w:val="35812566"/>
    <w:rsid w:val="35935DF5"/>
    <w:rsid w:val="359C2EFC"/>
    <w:rsid w:val="359E6C74"/>
    <w:rsid w:val="35AD335B"/>
    <w:rsid w:val="35B75F88"/>
    <w:rsid w:val="35BA15D4"/>
    <w:rsid w:val="35F76384"/>
    <w:rsid w:val="360D3DFA"/>
    <w:rsid w:val="36385E4D"/>
    <w:rsid w:val="3639699D"/>
    <w:rsid w:val="36525CB0"/>
    <w:rsid w:val="366A2FFA"/>
    <w:rsid w:val="36987B67"/>
    <w:rsid w:val="36CA5847"/>
    <w:rsid w:val="36CE3589"/>
    <w:rsid w:val="36E243D5"/>
    <w:rsid w:val="36F86858"/>
    <w:rsid w:val="3715740A"/>
    <w:rsid w:val="371B60A2"/>
    <w:rsid w:val="371D62BE"/>
    <w:rsid w:val="3747333B"/>
    <w:rsid w:val="37537F32"/>
    <w:rsid w:val="375872F6"/>
    <w:rsid w:val="375D66BB"/>
    <w:rsid w:val="37647A49"/>
    <w:rsid w:val="37757EA8"/>
    <w:rsid w:val="37773C20"/>
    <w:rsid w:val="378B76CC"/>
    <w:rsid w:val="37991DE9"/>
    <w:rsid w:val="37C93D50"/>
    <w:rsid w:val="37E56DDC"/>
    <w:rsid w:val="37F708BD"/>
    <w:rsid w:val="37FA215C"/>
    <w:rsid w:val="382E6D71"/>
    <w:rsid w:val="383C4522"/>
    <w:rsid w:val="385950D4"/>
    <w:rsid w:val="387243E8"/>
    <w:rsid w:val="38784955"/>
    <w:rsid w:val="38883C0B"/>
    <w:rsid w:val="388D1222"/>
    <w:rsid w:val="388F6D48"/>
    <w:rsid w:val="38926838"/>
    <w:rsid w:val="389745A7"/>
    <w:rsid w:val="38AD71CE"/>
    <w:rsid w:val="38C2711D"/>
    <w:rsid w:val="38C56C0D"/>
    <w:rsid w:val="38CF5396"/>
    <w:rsid w:val="390B0AC4"/>
    <w:rsid w:val="393671C3"/>
    <w:rsid w:val="393D49F6"/>
    <w:rsid w:val="3942200C"/>
    <w:rsid w:val="394F2F36"/>
    <w:rsid w:val="39641F82"/>
    <w:rsid w:val="399565E0"/>
    <w:rsid w:val="39E84962"/>
    <w:rsid w:val="39FC665F"/>
    <w:rsid w:val="39FF7EFD"/>
    <w:rsid w:val="3A281202"/>
    <w:rsid w:val="3A695377"/>
    <w:rsid w:val="3A86417A"/>
    <w:rsid w:val="3A916DA7"/>
    <w:rsid w:val="3AA07C21"/>
    <w:rsid w:val="3AB02FA5"/>
    <w:rsid w:val="3ADD023E"/>
    <w:rsid w:val="3B194FEF"/>
    <w:rsid w:val="3B1B2B15"/>
    <w:rsid w:val="3B1F0857"/>
    <w:rsid w:val="3B223EA3"/>
    <w:rsid w:val="3B3E219E"/>
    <w:rsid w:val="3B4F57A4"/>
    <w:rsid w:val="3B516536"/>
    <w:rsid w:val="3B5B5607"/>
    <w:rsid w:val="3B7346FF"/>
    <w:rsid w:val="3B7D557D"/>
    <w:rsid w:val="3BAA5C47"/>
    <w:rsid w:val="3BC1190E"/>
    <w:rsid w:val="3BF515B8"/>
    <w:rsid w:val="3BFA6BCE"/>
    <w:rsid w:val="3C2079D1"/>
    <w:rsid w:val="3C2832E0"/>
    <w:rsid w:val="3C3F7D2E"/>
    <w:rsid w:val="3C4816E7"/>
    <w:rsid w:val="3C720E5A"/>
    <w:rsid w:val="3CB7061B"/>
    <w:rsid w:val="3CCA47F2"/>
    <w:rsid w:val="3CD411CD"/>
    <w:rsid w:val="3CF4186F"/>
    <w:rsid w:val="3D015D3A"/>
    <w:rsid w:val="3D053A7C"/>
    <w:rsid w:val="3D0F66A9"/>
    <w:rsid w:val="3D1617E6"/>
    <w:rsid w:val="3D4A1496"/>
    <w:rsid w:val="3D7D3613"/>
    <w:rsid w:val="3D8F3346"/>
    <w:rsid w:val="3D917517"/>
    <w:rsid w:val="3DA70690"/>
    <w:rsid w:val="3E642A25"/>
    <w:rsid w:val="3E75078E"/>
    <w:rsid w:val="3E78202C"/>
    <w:rsid w:val="3E86299B"/>
    <w:rsid w:val="3EA64DEB"/>
    <w:rsid w:val="3EB412B6"/>
    <w:rsid w:val="3EBB0897"/>
    <w:rsid w:val="3EDE27D7"/>
    <w:rsid w:val="3F0D4E6A"/>
    <w:rsid w:val="3F1C6E5B"/>
    <w:rsid w:val="3F6C1B91"/>
    <w:rsid w:val="3F7E3672"/>
    <w:rsid w:val="40167D4F"/>
    <w:rsid w:val="403D52DB"/>
    <w:rsid w:val="40532D51"/>
    <w:rsid w:val="406665E0"/>
    <w:rsid w:val="40672358"/>
    <w:rsid w:val="408178BE"/>
    <w:rsid w:val="408829FA"/>
    <w:rsid w:val="408E5B37"/>
    <w:rsid w:val="409F5F96"/>
    <w:rsid w:val="40C64C13"/>
    <w:rsid w:val="40C94DC1"/>
    <w:rsid w:val="40CE0B41"/>
    <w:rsid w:val="40D27DE8"/>
    <w:rsid w:val="41183EE8"/>
    <w:rsid w:val="41200E85"/>
    <w:rsid w:val="413C37E5"/>
    <w:rsid w:val="413F0350"/>
    <w:rsid w:val="414803DC"/>
    <w:rsid w:val="415D5C35"/>
    <w:rsid w:val="418C02C8"/>
    <w:rsid w:val="41900F8F"/>
    <w:rsid w:val="41E81277"/>
    <w:rsid w:val="41F1637D"/>
    <w:rsid w:val="41F540C0"/>
    <w:rsid w:val="41FF4F3E"/>
    <w:rsid w:val="42017E98"/>
    <w:rsid w:val="42044303"/>
    <w:rsid w:val="42204EB5"/>
    <w:rsid w:val="422449A5"/>
    <w:rsid w:val="42442951"/>
    <w:rsid w:val="424E557E"/>
    <w:rsid w:val="426D00FA"/>
    <w:rsid w:val="42764AD5"/>
    <w:rsid w:val="429C278D"/>
    <w:rsid w:val="42AB6E74"/>
    <w:rsid w:val="42C27D1A"/>
    <w:rsid w:val="42CB3072"/>
    <w:rsid w:val="42CB6BCE"/>
    <w:rsid w:val="42E12896"/>
    <w:rsid w:val="42FC322C"/>
    <w:rsid w:val="430F2F5F"/>
    <w:rsid w:val="433D0201"/>
    <w:rsid w:val="436037BB"/>
    <w:rsid w:val="436F39FE"/>
    <w:rsid w:val="438020AF"/>
    <w:rsid w:val="43A833B4"/>
    <w:rsid w:val="43B35FE0"/>
    <w:rsid w:val="43CF26EE"/>
    <w:rsid w:val="43E12AFB"/>
    <w:rsid w:val="43EF2D90"/>
    <w:rsid w:val="440741F6"/>
    <w:rsid w:val="440F51E1"/>
    <w:rsid w:val="44202F4A"/>
    <w:rsid w:val="443C4228"/>
    <w:rsid w:val="445552E9"/>
    <w:rsid w:val="445A46AE"/>
    <w:rsid w:val="4475773A"/>
    <w:rsid w:val="447A08AC"/>
    <w:rsid w:val="4497145E"/>
    <w:rsid w:val="44A8366B"/>
    <w:rsid w:val="44AB315B"/>
    <w:rsid w:val="44C304A5"/>
    <w:rsid w:val="44DA134B"/>
    <w:rsid w:val="451A208F"/>
    <w:rsid w:val="452B604A"/>
    <w:rsid w:val="453E3FCF"/>
    <w:rsid w:val="4550785F"/>
    <w:rsid w:val="45513D03"/>
    <w:rsid w:val="45B20519"/>
    <w:rsid w:val="45B7168C"/>
    <w:rsid w:val="45C85647"/>
    <w:rsid w:val="45DD7344"/>
    <w:rsid w:val="45E76415"/>
    <w:rsid w:val="45F75F2C"/>
    <w:rsid w:val="46003033"/>
    <w:rsid w:val="46222FA9"/>
    <w:rsid w:val="4629258A"/>
    <w:rsid w:val="46401681"/>
    <w:rsid w:val="465515D1"/>
    <w:rsid w:val="466E61EE"/>
    <w:rsid w:val="467C3575"/>
    <w:rsid w:val="46B5399D"/>
    <w:rsid w:val="46C91677"/>
    <w:rsid w:val="46E26BDC"/>
    <w:rsid w:val="46E97F6B"/>
    <w:rsid w:val="474653BD"/>
    <w:rsid w:val="475E2707"/>
    <w:rsid w:val="479E2B03"/>
    <w:rsid w:val="47B10A89"/>
    <w:rsid w:val="47D31AAF"/>
    <w:rsid w:val="47E453DB"/>
    <w:rsid w:val="47FB1D04"/>
    <w:rsid w:val="480A63EB"/>
    <w:rsid w:val="482203E1"/>
    <w:rsid w:val="484D0086"/>
    <w:rsid w:val="48892C63"/>
    <w:rsid w:val="489857A5"/>
    <w:rsid w:val="48B00D40"/>
    <w:rsid w:val="48DC5D8A"/>
    <w:rsid w:val="48E00EFA"/>
    <w:rsid w:val="491C4628"/>
    <w:rsid w:val="491E1CF2"/>
    <w:rsid w:val="49221512"/>
    <w:rsid w:val="493279A7"/>
    <w:rsid w:val="49415E3C"/>
    <w:rsid w:val="49543DC1"/>
    <w:rsid w:val="49583186"/>
    <w:rsid w:val="497A134E"/>
    <w:rsid w:val="49A14B2D"/>
    <w:rsid w:val="49AA41F5"/>
    <w:rsid w:val="49C56A6D"/>
    <w:rsid w:val="4A084BAC"/>
    <w:rsid w:val="4A162E25"/>
    <w:rsid w:val="4A1B043B"/>
    <w:rsid w:val="4A1D56ED"/>
    <w:rsid w:val="4A372D9B"/>
    <w:rsid w:val="4A4C2CEB"/>
    <w:rsid w:val="4A6F0787"/>
    <w:rsid w:val="4AB50890"/>
    <w:rsid w:val="4ABA5EA6"/>
    <w:rsid w:val="4AC5484B"/>
    <w:rsid w:val="4AD60806"/>
    <w:rsid w:val="4ADD1B95"/>
    <w:rsid w:val="4B0C247A"/>
    <w:rsid w:val="4B26353C"/>
    <w:rsid w:val="4B7A3887"/>
    <w:rsid w:val="4B8169C4"/>
    <w:rsid w:val="4B95246F"/>
    <w:rsid w:val="4BBD373D"/>
    <w:rsid w:val="4BC36FDC"/>
    <w:rsid w:val="4BC44B03"/>
    <w:rsid w:val="4BF2341E"/>
    <w:rsid w:val="4C1C493F"/>
    <w:rsid w:val="4C207F8B"/>
    <w:rsid w:val="4C237A7B"/>
    <w:rsid w:val="4C3C0B3D"/>
    <w:rsid w:val="4C51283A"/>
    <w:rsid w:val="4C5E6D05"/>
    <w:rsid w:val="4CA3296A"/>
    <w:rsid w:val="4CCA6149"/>
    <w:rsid w:val="4D090375"/>
    <w:rsid w:val="4D185106"/>
    <w:rsid w:val="4D1A2C2C"/>
    <w:rsid w:val="4D587BF8"/>
    <w:rsid w:val="4DCA28A4"/>
    <w:rsid w:val="4DDE1EAC"/>
    <w:rsid w:val="4DF47921"/>
    <w:rsid w:val="4E485577"/>
    <w:rsid w:val="4E4B5067"/>
    <w:rsid w:val="4E660EA8"/>
    <w:rsid w:val="4E742810"/>
    <w:rsid w:val="4E872543"/>
    <w:rsid w:val="4E8F31A6"/>
    <w:rsid w:val="4EAC23D6"/>
    <w:rsid w:val="4EF456FF"/>
    <w:rsid w:val="4EF61477"/>
    <w:rsid w:val="4EFE780A"/>
    <w:rsid w:val="4F0A4F22"/>
    <w:rsid w:val="4F493C9D"/>
    <w:rsid w:val="4F587A3C"/>
    <w:rsid w:val="4FA32D35"/>
    <w:rsid w:val="4FBC3CED"/>
    <w:rsid w:val="4FE87012"/>
    <w:rsid w:val="501871CB"/>
    <w:rsid w:val="5043249A"/>
    <w:rsid w:val="50852AB2"/>
    <w:rsid w:val="50B213CE"/>
    <w:rsid w:val="50B26176"/>
    <w:rsid w:val="50B5354A"/>
    <w:rsid w:val="512F2A1E"/>
    <w:rsid w:val="515F1555"/>
    <w:rsid w:val="5160707C"/>
    <w:rsid w:val="51695F30"/>
    <w:rsid w:val="517E632D"/>
    <w:rsid w:val="518B234A"/>
    <w:rsid w:val="51E67581"/>
    <w:rsid w:val="520121B1"/>
    <w:rsid w:val="52067C23"/>
    <w:rsid w:val="520D0FB1"/>
    <w:rsid w:val="526B3F2A"/>
    <w:rsid w:val="527C1C93"/>
    <w:rsid w:val="52AB07CA"/>
    <w:rsid w:val="52AF2069"/>
    <w:rsid w:val="52B7716F"/>
    <w:rsid w:val="52BF7DD2"/>
    <w:rsid w:val="52D61424"/>
    <w:rsid w:val="52E57838"/>
    <w:rsid w:val="52EA4E4F"/>
    <w:rsid w:val="53394028"/>
    <w:rsid w:val="538511BA"/>
    <w:rsid w:val="53A5346C"/>
    <w:rsid w:val="53DC24A5"/>
    <w:rsid w:val="53DD2C05"/>
    <w:rsid w:val="54024149"/>
    <w:rsid w:val="540B7773"/>
    <w:rsid w:val="541C54DC"/>
    <w:rsid w:val="543F741C"/>
    <w:rsid w:val="546F78A6"/>
    <w:rsid w:val="54880DC3"/>
    <w:rsid w:val="54992FD0"/>
    <w:rsid w:val="54994D7E"/>
    <w:rsid w:val="54B90F7D"/>
    <w:rsid w:val="54D37C0D"/>
    <w:rsid w:val="54F2448F"/>
    <w:rsid w:val="54F77CF7"/>
    <w:rsid w:val="551F0D3D"/>
    <w:rsid w:val="5543499A"/>
    <w:rsid w:val="555B64D8"/>
    <w:rsid w:val="555D3FFE"/>
    <w:rsid w:val="5572737D"/>
    <w:rsid w:val="558C48E3"/>
    <w:rsid w:val="5596306C"/>
    <w:rsid w:val="55992B5C"/>
    <w:rsid w:val="55BE25C3"/>
    <w:rsid w:val="55C7591B"/>
    <w:rsid w:val="55CB540B"/>
    <w:rsid w:val="55D6790C"/>
    <w:rsid w:val="55E93AE3"/>
    <w:rsid w:val="56114DE8"/>
    <w:rsid w:val="564547CE"/>
    <w:rsid w:val="565D002E"/>
    <w:rsid w:val="56617B1E"/>
    <w:rsid w:val="56B7773E"/>
    <w:rsid w:val="56B85264"/>
    <w:rsid w:val="56C500AD"/>
    <w:rsid w:val="56DF6C95"/>
    <w:rsid w:val="56F91B04"/>
    <w:rsid w:val="57340D8E"/>
    <w:rsid w:val="57437223"/>
    <w:rsid w:val="57482A8C"/>
    <w:rsid w:val="57672F12"/>
    <w:rsid w:val="57673900"/>
    <w:rsid w:val="576F0018"/>
    <w:rsid w:val="57811AFA"/>
    <w:rsid w:val="578735B4"/>
    <w:rsid w:val="57A71560"/>
    <w:rsid w:val="57A852D8"/>
    <w:rsid w:val="57AC301B"/>
    <w:rsid w:val="57DD4F82"/>
    <w:rsid w:val="57E44562"/>
    <w:rsid w:val="57E75E01"/>
    <w:rsid w:val="57FD73D2"/>
    <w:rsid w:val="58030761"/>
    <w:rsid w:val="58070251"/>
    <w:rsid w:val="58164938"/>
    <w:rsid w:val="581A7F84"/>
    <w:rsid w:val="586C4558"/>
    <w:rsid w:val="58BD75A3"/>
    <w:rsid w:val="58E80082"/>
    <w:rsid w:val="590B2278"/>
    <w:rsid w:val="590F3861"/>
    <w:rsid w:val="59126EAD"/>
    <w:rsid w:val="591F781C"/>
    <w:rsid w:val="59407EBE"/>
    <w:rsid w:val="59486D73"/>
    <w:rsid w:val="598A738C"/>
    <w:rsid w:val="59941FB8"/>
    <w:rsid w:val="599B3215"/>
    <w:rsid w:val="59AD4E28"/>
    <w:rsid w:val="59C06909"/>
    <w:rsid w:val="59C56616"/>
    <w:rsid w:val="59C81C62"/>
    <w:rsid w:val="59DD570D"/>
    <w:rsid w:val="59F6057D"/>
    <w:rsid w:val="5A25594F"/>
    <w:rsid w:val="5A2A0227"/>
    <w:rsid w:val="5A955FE8"/>
    <w:rsid w:val="5A9D6C4B"/>
    <w:rsid w:val="5AAC3332"/>
    <w:rsid w:val="5AAE70AA"/>
    <w:rsid w:val="5ADA39FB"/>
    <w:rsid w:val="5B1038C0"/>
    <w:rsid w:val="5B661732"/>
    <w:rsid w:val="5B6D486F"/>
    <w:rsid w:val="5BBB382C"/>
    <w:rsid w:val="5BDD7C46"/>
    <w:rsid w:val="5BF31218"/>
    <w:rsid w:val="5C036F81"/>
    <w:rsid w:val="5C1178F0"/>
    <w:rsid w:val="5C321615"/>
    <w:rsid w:val="5C361105"/>
    <w:rsid w:val="5C471564"/>
    <w:rsid w:val="5C9636F9"/>
    <w:rsid w:val="5CA644DC"/>
    <w:rsid w:val="5CBB7F6F"/>
    <w:rsid w:val="5CDF354A"/>
    <w:rsid w:val="5CEB6393"/>
    <w:rsid w:val="5D1547DA"/>
    <w:rsid w:val="5D235B2D"/>
    <w:rsid w:val="5D2D2508"/>
    <w:rsid w:val="5D4471AD"/>
    <w:rsid w:val="5D50269A"/>
    <w:rsid w:val="5D572A52"/>
    <w:rsid w:val="5D59154F"/>
    <w:rsid w:val="5D722610"/>
    <w:rsid w:val="5D891708"/>
    <w:rsid w:val="5D8A795A"/>
    <w:rsid w:val="5D924A61"/>
    <w:rsid w:val="5DB03139"/>
    <w:rsid w:val="5DB46785"/>
    <w:rsid w:val="5DE27796"/>
    <w:rsid w:val="5E062D59"/>
    <w:rsid w:val="5E257683"/>
    <w:rsid w:val="5E385608"/>
    <w:rsid w:val="5E3D49CC"/>
    <w:rsid w:val="5E5F0DE7"/>
    <w:rsid w:val="5E6737F7"/>
    <w:rsid w:val="5E8425FB"/>
    <w:rsid w:val="5E9D36BD"/>
    <w:rsid w:val="5EAE7678"/>
    <w:rsid w:val="5EBF1885"/>
    <w:rsid w:val="5EDF7832"/>
    <w:rsid w:val="5F0667A8"/>
    <w:rsid w:val="5F57386C"/>
    <w:rsid w:val="5F6B5569"/>
    <w:rsid w:val="5F9C1BC7"/>
    <w:rsid w:val="5FA6034F"/>
    <w:rsid w:val="5FF13CC0"/>
    <w:rsid w:val="600B265B"/>
    <w:rsid w:val="602A71D2"/>
    <w:rsid w:val="602B1F03"/>
    <w:rsid w:val="6051475F"/>
    <w:rsid w:val="60911000"/>
    <w:rsid w:val="60A54AAB"/>
    <w:rsid w:val="60D86C2E"/>
    <w:rsid w:val="60EA0710"/>
    <w:rsid w:val="60EC092C"/>
    <w:rsid w:val="61121C1F"/>
    <w:rsid w:val="61271964"/>
    <w:rsid w:val="612A498A"/>
    <w:rsid w:val="613C5A71"/>
    <w:rsid w:val="6142054C"/>
    <w:rsid w:val="614C3178"/>
    <w:rsid w:val="61897F29"/>
    <w:rsid w:val="61A71DEE"/>
    <w:rsid w:val="62402CDD"/>
    <w:rsid w:val="625B3673"/>
    <w:rsid w:val="62B334AF"/>
    <w:rsid w:val="62CC27C3"/>
    <w:rsid w:val="62E23939"/>
    <w:rsid w:val="62FF4946"/>
    <w:rsid w:val="631872EE"/>
    <w:rsid w:val="632C5010"/>
    <w:rsid w:val="633640E0"/>
    <w:rsid w:val="633E49F0"/>
    <w:rsid w:val="635B76A3"/>
    <w:rsid w:val="63666773"/>
    <w:rsid w:val="637F3391"/>
    <w:rsid w:val="639066FC"/>
    <w:rsid w:val="63AB062A"/>
    <w:rsid w:val="63B35731"/>
    <w:rsid w:val="63C17E4E"/>
    <w:rsid w:val="63C74D38"/>
    <w:rsid w:val="64177A6E"/>
    <w:rsid w:val="643D52CB"/>
    <w:rsid w:val="64487C27"/>
    <w:rsid w:val="64526CF8"/>
    <w:rsid w:val="64B11C70"/>
    <w:rsid w:val="64EE7908"/>
    <w:rsid w:val="64F950AC"/>
    <w:rsid w:val="651641C9"/>
    <w:rsid w:val="652C12F7"/>
    <w:rsid w:val="65332685"/>
    <w:rsid w:val="65444892"/>
    <w:rsid w:val="654C3747"/>
    <w:rsid w:val="655B398A"/>
    <w:rsid w:val="65A215B9"/>
    <w:rsid w:val="65B65064"/>
    <w:rsid w:val="65C94D98"/>
    <w:rsid w:val="65CC6636"/>
    <w:rsid w:val="65E51C36"/>
    <w:rsid w:val="65E63B9C"/>
    <w:rsid w:val="65FB04DF"/>
    <w:rsid w:val="661C75BD"/>
    <w:rsid w:val="66495ED8"/>
    <w:rsid w:val="665A1E94"/>
    <w:rsid w:val="66A9017B"/>
    <w:rsid w:val="66C33EDD"/>
    <w:rsid w:val="66C67529"/>
    <w:rsid w:val="6707201B"/>
    <w:rsid w:val="6739419F"/>
    <w:rsid w:val="67397CFB"/>
    <w:rsid w:val="674F5770"/>
    <w:rsid w:val="67580AC9"/>
    <w:rsid w:val="6759039D"/>
    <w:rsid w:val="675D1C3B"/>
    <w:rsid w:val="67803B7C"/>
    <w:rsid w:val="67C95523"/>
    <w:rsid w:val="67E81E4D"/>
    <w:rsid w:val="68264723"/>
    <w:rsid w:val="686D2352"/>
    <w:rsid w:val="68752FB5"/>
    <w:rsid w:val="68802085"/>
    <w:rsid w:val="688B0A2A"/>
    <w:rsid w:val="68A044D6"/>
    <w:rsid w:val="68B7181F"/>
    <w:rsid w:val="68CA77A4"/>
    <w:rsid w:val="68DB550E"/>
    <w:rsid w:val="68E00D76"/>
    <w:rsid w:val="68E1689C"/>
    <w:rsid w:val="6917406C"/>
    <w:rsid w:val="6958090C"/>
    <w:rsid w:val="69643755"/>
    <w:rsid w:val="696A0640"/>
    <w:rsid w:val="696C43B8"/>
    <w:rsid w:val="698536CB"/>
    <w:rsid w:val="699F29DF"/>
    <w:rsid w:val="69B144C0"/>
    <w:rsid w:val="69B95F14"/>
    <w:rsid w:val="69BD10B7"/>
    <w:rsid w:val="69D361E5"/>
    <w:rsid w:val="69DA7573"/>
    <w:rsid w:val="69EA352F"/>
    <w:rsid w:val="6A110DFD"/>
    <w:rsid w:val="6A641533"/>
    <w:rsid w:val="6A90057A"/>
    <w:rsid w:val="6ABE0C43"/>
    <w:rsid w:val="6AF428B7"/>
    <w:rsid w:val="6B3B04E6"/>
    <w:rsid w:val="6B421874"/>
    <w:rsid w:val="6B785296"/>
    <w:rsid w:val="6B8E4AB9"/>
    <w:rsid w:val="6B9E0A74"/>
    <w:rsid w:val="6BBD7356"/>
    <w:rsid w:val="6BC93D43"/>
    <w:rsid w:val="6BD47EDA"/>
    <w:rsid w:val="6BE20961"/>
    <w:rsid w:val="6C184383"/>
    <w:rsid w:val="6C242547"/>
    <w:rsid w:val="6C270A6A"/>
    <w:rsid w:val="6C2947E2"/>
    <w:rsid w:val="6C296590"/>
    <w:rsid w:val="6C3F5DB4"/>
    <w:rsid w:val="6C510373"/>
    <w:rsid w:val="6C6F0252"/>
    <w:rsid w:val="6C755C79"/>
    <w:rsid w:val="6C89702F"/>
    <w:rsid w:val="6CD97FB6"/>
    <w:rsid w:val="6CFC5EFF"/>
    <w:rsid w:val="6D134E32"/>
    <w:rsid w:val="6D167B21"/>
    <w:rsid w:val="6D800432"/>
    <w:rsid w:val="6DC347C2"/>
    <w:rsid w:val="6DC76061"/>
    <w:rsid w:val="6DD15131"/>
    <w:rsid w:val="6DD16EDF"/>
    <w:rsid w:val="6DEE5CE3"/>
    <w:rsid w:val="6E070B53"/>
    <w:rsid w:val="6E386F5E"/>
    <w:rsid w:val="6E4F6056"/>
    <w:rsid w:val="6EA97E5C"/>
    <w:rsid w:val="6EE669BA"/>
    <w:rsid w:val="6F094457"/>
    <w:rsid w:val="6F1572A0"/>
    <w:rsid w:val="6F3040D9"/>
    <w:rsid w:val="6F3E05A4"/>
    <w:rsid w:val="6F532D0E"/>
    <w:rsid w:val="6F6A3147"/>
    <w:rsid w:val="6F6D0E8A"/>
    <w:rsid w:val="6F8F0E00"/>
    <w:rsid w:val="6FFB0243"/>
    <w:rsid w:val="70313C65"/>
    <w:rsid w:val="703B482E"/>
    <w:rsid w:val="704B28CA"/>
    <w:rsid w:val="70626515"/>
    <w:rsid w:val="707422D7"/>
    <w:rsid w:val="70950698"/>
    <w:rsid w:val="70A1703D"/>
    <w:rsid w:val="70A22DB5"/>
    <w:rsid w:val="70BF5715"/>
    <w:rsid w:val="70D07922"/>
    <w:rsid w:val="71094BE2"/>
    <w:rsid w:val="7141612A"/>
    <w:rsid w:val="716764A2"/>
    <w:rsid w:val="71706A0F"/>
    <w:rsid w:val="719B1CDE"/>
    <w:rsid w:val="71A52B5D"/>
    <w:rsid w:val="71A83FA0"/>
    <w:rsid w:val="71B27028"/>
    <w:rsid w:val="71B72890"/>
    <w:rsid w:val="71C823A7"/>
    <w:rsid w:val="722A12B4"/>
    <w:rsid w:val="723F4D5F"/>
    <w:rsid w:val="723F6B0D"/>
    <w:rsid w:val="72671BC0"/>
    <w:rsid w:val="72693B8A"/>
    <w:rsid w:val="72710C91"/>
    <w:rsid w:val="72874010"/>
    <w:rsid w:val="72911648"/>
    <w:rsid w:val="72AB1E34"/>
    <w:rsid w:val="7306587D"/>
    <w:rsid w:val="73092C77"/>
    <w:rsid w:val="73835CCC"/>
    <w:rsid w:val="73AF1A71"/>
    <w:rsid w:val="73DC65DE"/>
    <w:rsid w:val="74092103"/>
    <w:rsid w:val="740B2A1F"/>
    <w:rsid w:val="7452064E"/>
    <w:rsid w:val="7471186E"/>
    <w:rsid w:val="7476433D"/>
    <w:rsid w:val="747B5DF7"/>
    <w:rsid w:val="747F7695"/>
    <w:rsid w:val="748702F8"/>
    <w:rsid w:val="7499002B"/>
    <w:rsid w:val="74C94309"/>
    <w:rsid w:val="74C96B62"/>
    <w:rsid w:val="74D15A17"/>
    <w:rsid w:val="74F6722B"/>
    <w:rsid w:val="753A180E"/>
    <w:rsid w:val="75581C94"/>
    <w:rsid w:val="75644ADD"/>
    <w:rsid w:val="756920F3"/>
    <w:rsid w:val="756E3266"/>
    <w:rsid w:val="759E7FEF"/>
    <w:rsid w:val="75AD3D8E"/>
    <w:rsid w:val="75BF7F65"/>
    <w:rsid w:val="75C80BC8"/>
    <w:rsid w:val="75D43A11"/>
    <w:rsid w:val="75F25C45"/>
    <w:rsid w:val="760D0CD1"/>
    <w:rsid w:val="761E2EDE"/>
    <w:rsid w:val="761F0DFD"/>
    <w:rsid w:val="764D7395"/>
    <w:rsid w:val="765E152C"/>
    <w:rsid w:val="76724FD8"/>
    <w:rsid w:val="767B20DE"/>
    <w:rsid w:val="76AA4771"/>
    <w:rsid w:val="76AE4262"/>
    <w:rsid w:val="76B33626"/>
    <w:rsid w:val="76C9109B"/>
    <w:rsid w:val="76F679B7"/>
    <w:rsid w:val="76FB4FCD"/>
    <w:rsid w:val="77100A78"/>
    <w:rsid w:val="77334767"/>
    <w:rsid w:val="77446974"/>
    <w:rsid w:val="774B7D02"/>
    <w:rsid w:val="77514BED"/>
    <w:rsid w:val="775766A7"/>
    <w:rsid w:val="775F730A"/>
    <w:rsid w:val="77617526"/>
    <w:rsid w:val="776B1CF7"/>
    <w:rsid w:val="77731007"/>
    <w:rsid w:val="77D47CF8"/>
    <w:rsid w:val="78042105"/>
    <w:rsid w:val="78177BE5"/>
    <w:rsid w:val="78280044"/>
    <w:rsid w:val="78412EB3"/>
    <w:rsid w:val="7859644F"/>
    <w:rsid w:val="7866291A"/>
    <w:rsid w:val="7879264D"/>
    <w:rsid w:val="78931961"/>
    <w:rsid w:val="78A53442"/>
    <w:rsid w:val="78C57641"/>
    <w:rsid w:val="78C87131"/>
    <w:rsid w:val="78EC2E1F"/>
    <w:rsid w:val="790A599B"/>
    <w:rsid w:val="793F707A"/>
    <w:rsid w:val="79517126"/>
    <w:rsid w:val="795A5FDB"/>
    <w:rsid w:val="796F141C"/>
    <w:rsid w:val="79A61220"/>
    <w:rsid w:val="79D72945"/>
    <w:rsid w:val="79E24222"/>
    <w:rsid w:val="79ED50A1"/>
    <w:rsid w:val="7A212F9C"/>
    <w:rsid w:val="7A2465E9"/>
    <w:rsid w:val="7A431165"/>
    <w:rsid w:val="7A6335B5"/>
    <w:rsid w:val="7A6730A5"/>
    <w:rsid w:val="7AB12572"/>
    <w:rsid w:val="7ADE49EA"/>
    <w:rsid w:val="7AFE32DE"/>
    <w:rsid w:val="7B187EFC"/>
    <w:rsid w:val="7B2A7C2F"/>
    <w:rsid w:val="7B2F16E9"/>
    <w:rsid w:val="7B580C40"/>
    <w:rsid w:val="7B5B428C"/>
    <w:rsid w:val="7B62386D"/>
    <w:rsid w:val="7B690757"/>
    <w:rsid w:val="7B803CF3"/>
    <w:rsid w:val="7B8C7C65"/>
    <w:rsid w:val="7B9F686F"/>
    <w:rsid w:val="7BDF4EBD"/>
    <w:rsid w:val="7BEB0DFD"/>
    <w:rsid w:val="7C030BAC"/>
    <w:rsid w:val="7C1508DF"/>
    <w:rsid w:val="7C3A20F4"/>
    <w:rsid w:val="7C4B4301"/>
    <w:rsid w:val="7C594C70"/>
    <w:rsid w:val="7C6F7FEF"/>
    <w:rsid w:val="7C80044E"/>
    <w:rsid w:val="7C815F74"/>
    <w:rsid w:val="7C8C6A3D"/>
    <w:rsid w:val="7CA26617"/>
    <w:rsid w:val="7CCC5441"/>
    <w:rsid w:val="7CD662C0"/>
    <w:rsid w:val="7D0B583E"/>
    <w:rsid w:val="7D455E73"/>
    <w:rsid w:val="7D733B0F"/>
    <w:rsid w:val="7D7653AD"/>
    <w:rsid w:val="7D9D293A"/>
    <w:rsid w:val="7DA97531"/>
    <w:rsid w:val="7DCE6F97"/>
    <w:rsid w:val="7DDA593C"/>
    <w:rsid w:val="7DDD367E"/>
    <w:rsid w:val="7DF033B2"/>
    <w:rsid w:val="7E192908"/>
    <w:rsid w:val="7EAD12A3"/>
    <w:rsid w:val="7EF231CE"/>
    <w:rsid w:val="7F4E6186"/>
    <w:rsid w:val="7F4F5EB6"/>
    <w:rsid w:val="7F7B4EFD"/>
    <w:rsid w:val="7FB87EFF"/>
    <w:rsid w:val="7FEE32D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9" w:name="heading 4"/>
    <w:lsdException w:qFormat="1" w:uiPriority="9" w:name="heading 5"/>
    <w:lsdException w:qFormat="1" w:unhideWhenUsed="0" w:uiPriority="0" w:semiHidden="0" w:name="heading 6"/>
    <w:lsdException w:qFormat="1" w:uiPriority="9" w:name="heading 7"/>
    <w:lsdException w:qFormat="1" w:unhideWhenUsed="0" w:uiPriority="9"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qFormat="1" w:unhideWhenUsed="0" w:uiPriority="0" w:semiHidden="0" w:name="Body Text 3"/>
    <w:lsdException w:qFormat="1" w:uiPriority="99" w:semiHidden="0" w:name="Body Text Indent 2"/>
    <w:lsdException w:uiPriority="99" w:name="Body Text Indent 3"/>
    <w:lsdException w:qFormat="1" w:uiPriority="0" w:semiHidden="0"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qFormat="1" w:unhideWhenUsed="0" w:uiPriority="4"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paragraph" w:styleId="2">
    <w:name w:val="heading 1"/>
    <w:basedOn w:val="1"/>
    <w:next w:val="1"/>
    <w:link w:val="38"/>
    <w:qFormat/>
    <w:uiPriority w:val="0"/>
    <w:pPr>
      <w:pageBreakBefore/>
      <w:spacing w:after="120" w:line="276" w:lineRule="auto"/>
      <w:jc w:val="center"/>
      <w:outlineLvl w:val="0"/>
    </w:pPr>
    <w:rPr>
      <w:rFonts w:ascii="宋体" w:hAnsi="宋体" w:eastAsia="宋体" w:cs="Times New Roman"/>
      <w:b/>
      <w:color w:val="000000"/>
      <w:kern w:val="44"/>
      <w:sz w:val="32"/>
      <w:szCs w:val="32"/>
    </w:rPr>
  </w:style>
  <w:style w:type="paragraph" w:styleId="3">
    <w:name w:val="heading 2"/>
    <w:basedOn w:val="1"/>
    <w:next w:val="1"/>
    <w:link w:val="39"/>
    <w:qFormat/>
    <w:uiPriority w:val="9"/>
    <w:pPr>
      <w:spacing w:before="120" w:after="120" w:line="276" w:lineRule="auto"/>
      <w:jc w:val="left"/>
      <w:outlineLvl w:val="1"/>
    </w:pPr>
    <w:rPr>
      <w:rFonts w:ascii="宋体" w:hAnsi="宋体" w:eastAsia="宋体" w:cs="Times New Roman"/>
      <w:b/>
      <w:color w:val="000000"/>
      <w:sz w:val="30"/>
      <w:szCs w:val="30"/>
    </w:rPr>
  </w:style>
  <w:style w:type="paragraph" w:styleId="4">
    <w:name w:val="heading 3"/>
    <w:basedOn w:val="1"/>
    <w:next w:val="1"/>
    <w:link w:val="40"/>
    <w:qFormat/>
    <w:uiPriority w:val="0"/>
    <w:pPr>
      <w:keepNext/>
      <w:keepLines/>
      <w:spacing w:before="260" w:after="260" w:line="412" w:lineRule="auto"/>
      <w:ind w:firstLine="49" w:firstLineChars="49"/>
      <w:outlineLvl w:val="2"/>
    </w:pPr>
    <w:rPr>
      <w:rFonts w:ascii="黑体" w:hAnsi="Calibri" w:eastAsia="黑体" w:cs="Times New Roman"/>
      <w:sz w:val="28"/>
      <w:szCs w:val="20"/>
    </w:rPr>
  </w:style>
  <w:style w:type="paragraph" w:styleId="5">
    <w:name w:val="heading 6"/>
    <w:basedOn w:val="1"/>
    <w:next w:val="1"/>
    <w:link w:val="41"/>
    <w:qFormat/>
    <w:uiPriority w:val="0"/>
    <w:pPr>
      <w:keepNext/>
      <w:keepLines/>
      <w:spacing w:before="240" w:after="64" w:line="320" w:lineRule="auto"/>
      <w:outlineLvl w:val="5"/>
    </w:pPr>
    <w:rPr>
      <w:rFonts w:ascii="Cambria" w:hAnsi="Cambria" w:eastAsia="宋体" w:cs="Times New Roman"/>
      <w:b/>
      <w:bCs/>
      <w:sz w:val="24"/>
      <w:szCs w:val="24"/>
    </w:rPr>
  </w:style>
  <w:style w:type="paragraph" w:styleId="6">
    <w:name w:val="heading 8"/>
    <w:basedOn w:val="1"/>
    <w:next w:val="1"/>
    <w:link w:val="42"/>
    <w:qFormat/>
    <w:uiPriority w:val="9"/>
    <w:pPr>
      <w:keepNext/>
      <w:keepLines/>
      <w:spacing w:before="240" w:after="64" w:line="320" w:lineRule="auto"/>
      <w:outlineLvl w:val="7"/>
    </w:pPr>
    <w:rPr>
      <w:rFonts w:ascii="等线 Light" w:hAnsi="等线 Light" w:eastAsia="等线 Light" w:cs="Times New Roman"/>
      <w:sz w:val="24"/>
      <w:szCs w:val="24"/>
    </w:rPr>
  </w:style>
  <w:style w:type="character" w:default="1" w:styleId="33">
    <w:name w:val="Default Paragraph Font"/>
    <w:unhideWhenUsed/>
    <w:qFormat/>
    <w:uiPriority w:val="1"/>
  </w:style>
  <w:style w:type="table" w:default="1" w:styleId="32">
    <w:name w:val="Normal Table"/>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2520" w:leftChars="1200"/>
    </w:pPr>
    <w:rPr>
      <w:rFonts w:ascii="Calibri" w:hAnsi="Calibri" w:eastAsia="宋体" w:cs="Times New Roman"/>
    </w:rPr>
  </w:style>
  <w:style w:type="paragraph" w:styleId="8">
    <w:name w:val="Normal Indent"/>
    <w:basedOn w:val="1"/>
    <w:next w:val="1"/>
    <w:qFormat/>
    <w:uiPriority w:val="0"/>
    <w:pPr>
      <w:spacing w:line="360" w:lineRule="auto"/>
      <w:ind w:firstLine="420" w:firstLineChars="200"/>
      <w:jc w:val="both"/>
    </w:pPr>
    <w:rPr>
      <w:rFonts w:eastAsia="宋体"/>
      <w:kern w:val="2"/>
      <w:sz w:val="21"/>
      <w:szCs w:val="20"/>
    </w:rPr>
  </w:style>
  <w:style w:type="paragraph" w:styleId="9">
    <w:name w:val="annotation text"/>
    <w:basedOn w:val="1"/>
    <w:link w:val="43"/>
    <w:qFormat/>
    <w:uiPriority w:val="0"/>
    <w:pPr>
      <w:jc w:val="left"/>
    </w:pPr>
    <w:rPr>
      <w:rFonts w:ascii="Calibri" w:hAnsi="Calibri" w:eastAsia="宋体" w:cs="Times New Roman"/>
    </w:rPr>
  </w:style>
  <w:style w:type="paragraph" w:styleId="10">
    <w:name w:val="Body Text 3"/>
    <w:basedOn w:val="1"/>
    <w:link w:val="44"/>
    <w:qFormat/>
    <w:uiPriority w:val="0"/>
    <w:rPr>
      <w:rFonts w:ascii="宋体" w:hAnsi="Calibri" w:eastAsia="宋体" w:cs="Times New Roman"/>
      <w:sz w:val="24"/>
      <w:szCs w:val="20"/>
    </w:rPr>
  </w:style>
  <w:style w:type="paragraph" w:styleId="11">
    <w:name w:val="Body Text"/>
    <w:basedOn w:val="1"/>
    <w:link w:val="45"/>
    <w:unhideWhenUsed/>
    <w:qFormat/>
    <w:uiPriority w:val="99"/>
    <w:pPr>
      <w:spacing w:after="120"/>
    </w:pPr>
    <w:rPr>
      <w:rFonts w:ascii="Calibri" w:hAnsi="Calibri" w:eastAsia="宋体" w:cs="Times New Roman"/>
      <w:szCs w:val="20"/>
    </w:rPr>
  </w:style>
  <w:style w:type="paragraph" w:styleId="12">
    <w:name w:val="Body Text Indent"/>
    <w:basedOn w:val="1"/>
    <w:link w:val="46"/>
    <w:qFormat/>
    <w:uiPriority w:val="0"/>
    <w:pPr>
      <w:spacing w:after="120"/>
      <w:ind w:left="420" w:leftChars="200"/>
    </w:pPr>
    <w:rPr>
      <w:rFonts w:ascii="Calibri" w:hAnsi="Calibri" w:eastAsia="宋体" w:cs="Times New Roman"/>
    </w:rPr>
  </w:style>
  <w:style w:type="paragraph" w:styleId="13">
    <w:name w:val="Block Text"/>
    <w:basedOn w:val="1"/>
    <w:unhideWhenUsed/>
    <w:qFormat/>
    <w:uiPriority w:val="0"/>
    <w:pPr>
      <w:spacing w:line="440" w:lineRule="exact"/>
      <w:ind w:left="-540" w:leftChars="-257" w:right="-334" w:rightChars="-159" w:firstLine="1140"/>
    </w:pPr>
    <w:rPr>
      <w:rFonts w:ascii="Times New Roman" w:hAnsi="Times New Roman" w:eastAsia="宋体" w:cs="Times New Roman"/>
      <w:sz w:val="24"/>
      <w:szCs w:val="20"/>
    </w:rPr>
  </w:style>
  <w:style w:type="paragraph" w:styleId="14">
    <w:name w:val="toc 5"/>
    <w:basedOn w:val="1"/>
    <w:next w:val="1"/>
    <w:unhideWhenUsed/>
    <w:qFormat/>
    <w:uiPriority w:val="39"/>
    <w:pPr>
      <w:ind w:left="1680" w:leftChars="800"/>
    </w:pPr>
    <w:rPr>
      <w:rFonts w:ascii="Calibri" w:hAnsi="Calibri" w:eastAsia="宋体" w:cs="Times New Roman"/>
    </w:rPr>
  </w:style>
  <w:style w:type="paragraph" w:styleId="15">
    <w:name w:val="toc 3"/>
    <w:basedOn w:val="1"/>
    <w:next w:val="1"/>
    <w:qFormat/>
    <w:uiPriority w:val="39"/>
    <w:pPr>
      <w:ind w:left="400" w:leftChars="400"/>
    </w:pPr>
    <w:rPr>
      <w:rFonts w:ascii="Calibri" w:hAnsi="Calibri" w:eastAsia="宋体" w:cs="Times New Roman"/>
    </w:rPr>
  </w:style>
  <w:style w:type="paragraph" w:styleId="16">
    <w:name w:val="Plain Text"/>
    <w:basedOn w:val="1"/>
    <w:link w:val="47"/>
    <w:qFormat/>
    <w:uiPriority w:val="0"/>
    <w:rPr>
      <w:rFonts w:ascii="宋体" w:hAnsi="Calibri" w:eastAsia="宋体" w:cs="Times New Roman"/>
    </w:rPr>
  </w:style>
  <w:style w:type="paragraph" w:styleId="17">
    <w:name w:val="toc 8"/>
    <w:basedOn w:val="1"/>
    <w:next w:val="1"/>
    <w:unhideWhenUsed/>
    <w:qFormat/>
    <w:uiPriority w:val="39"/>
    <w:pPr>
      <w:ind w:left="2940" w:leftChars="1400"/>
    </w:pPr>
    <w:rPr>
      <w:rFonts w:ascii="Calibri" w:hAnsi="Calibri" w:eastAsia="宋体" w:cs="Times New Roman"/>
    </w:rPr>
  </w:style>
  <w:style w:type="paragraph" w:styleId="18">
    <w:name w:val="Date"/>
    <w:basedOn w:val="1"/>
    <w:next w:val="1"/>
    <w:link w:val="48"/>
    <w:qFormat/>
    <w:uiPriority w:val="0"/>
    <w:pPr>
      <w:ind w:left="100" w:leftChars="2500"/>
    </w:pPr>
    <w:rPr>
      <w:rFonts w:ascii="Calibri" w:hAnsi="Calibri" w:eastAsia="宋体" w:cs="Times New Roman"/>
    </w:rPr>
  </w:style>
  <w:style w:type="paragraph" w:styleId="19">
    <w:name w:val="Body Text Indent 2"/>
    <w:basedOn w:val="1"/>
    <w:link w:val="49"/>
    <w:unhideWhenUsed/>
    <w:qFormat/>
    <w:uiPriority w:val="99"/>
    <w:pPr>
      <w:spacing w:after="120" w:line="480" w:lineRule="auto"/>
      <w:ind w:left="420" w:leftChars="200"/>
    </w:pPr>
  </w:style>
  <w:style w:type="paragraph" w:styleId="20">
    <w:name w:val="Balloon Text"/>
    <w:basedOn w:val="1"/>
    <w:link w:val="50"/>
    <w:qFormat/>
    <w:uiPriority w:val="0"/>
    <w:rPr>
      <w:rFonts w:ascii="Calibri" w:hAnsi="Calibri" w:eastAsia="宋体" w:cs="Times New Roman"/>
      <w:sz w:val="18"/>
      <w:szCs w:val="18"/>
    </w:rPr>
  </w:style>
  <w:style w:type="paragraph" w:styleId="21">
    <w:name w:val="footer"/>
    <w:basedOn w:val="1"/>
    <w:link w:val="51"/>
    <w:unhideWhenUsed/>
    <w:qFormat/>
    <w:uiPriority w:val="0"/>
    <w:pPr>
      <w:tabs>
        <w:tab w:val="center" w:pos="4153"/>
        <w:tab w:val="right" w:pos="8306"/>
      </w:tabs>
      <w:snapToGrid w:val="0"/>
      <w:jc w:val="left"/>
    </w:pPr>
    <w:rPr>
      <w:sz w:val="18"/>
      <w:szCs w:val="18"/>
    </w:rPr>
  </w:style>
  <w:style w:type="paragraph" w:styleId="22">
    <w:name w:val="header"/>
    <w:basedOn w:val="1"/>
    <w:link w:val="52"/>
    <w:unhideWhenUsed/>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rPr>
      <w:rFonts w:ascii="Calibri" w:hAnsi="Calibri" w:eastAsia="宋体" w:cs="Times New Roman"/>
    </w:rPr>
  </w:style>
  <w:style w:type="paragraph" w:styleId="24">
    <w:name w:val="toc 4"/>
    <w:basedOn w:val="1"/>
    <w:next w:val="1"/>
    <w:unhideWhenUsed/>
    <w:qFormat/>
    <w:uiPriority w:val="39"/>
    <w:pPr>
      <w:ind w:left="1260" w:leftChars="600"/>
    </w:pPr>
    <w:rPr>
      <w:rFonts w:ascii="Calibri" w:hAnsi="Calibri" w:eastAsia="宋体" w:cs="Times New Roman"/>
    </w:rPr>
  </w:style>
  <w:style w:type="paragraph" w:styleId="25">
    <w:name w:val="toc 6"/>
    <w:basedOn w:val="1"/>
    <w:next w:val="1"/>
    <w:unhideWhenUsed/>
    <w:qFormat/>
    <w:uiPriority w:val="39"/>
    <w:pPr>
      <w:ind w:left="2100" w:leftChars="1000"/>
    </w:pPr>
    <w:rPr>
      <w:rFonts w:ascii="Calibri" w:hAnsi="Calibri" w:eastAsia="宋体" w:cs="Times New Roman"/>
    </w:rPr>
  </w:style>
  <w:style w:type="paragraph" w:styleId="26">
    <w:name w:val="toc 2"/>
    <w:basedOn w:val="1"/>
    <w:next w:val="1"/>
    <w:qFormat/>
    <w:uiPriority w:val="39"/>
    <w:pPr>
      <w:ind w:left="200" w:leftChars="200"/>
    </w:pPr>
    <w:rPr>
      <w:rFonts w:ascii="Calibri" w:hAnsi="Calibri" w:eastAsia="宋体" w:cs="Times New Roman"/>
    </w:rPr>
  </w:style>
  <w:style w:type="paragraph" w:styleId="27">
    <w:name w:val="toc 9"/>
    <w:basedOn w:val="1"/>
    <w:next w:val="1"/>
    <w:unhideWhenUsed/>
    <w:qFormat/>
    <w:uiPriority w:val="39"/>
    <w:pPr>
      <w:ind w:left="3360" w:leftChars="1600"/>
    </w:pPr>
    <w:rPr>
      <w:rFonts w:ascii="Calibri" w:hAnsi="Calibri" w:eastAsia="宋体" w:cs="Times New Roman"/>
    </w:rPr>
  </w:style>
  <w:style w:type="paragraph" w:styleId="2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9">
    <w:name w:val="annotation subject"/>
    <w:basedOn w:val="9"/>
    <w:next w:val="9"/>
    <w:link w:val="53"/>
    <w:qFormat/>
    <w:uiPriority w:val="0"/>
    <w:rPr>
      <w:b/>
      <w:bCs/>
    </w:rPr>
  </w:style>
  <w:style w:type="paragraph" w:styleId="30">
    <w:name w:val="Body Text First Indent"/>
    <w:basedOn w:val="11"/>
    <w:link w:val="54"/>
    <w:qFormat/>
    <w:uiPriority w:val="99"/>
    <w:pPr>
      <w:spacing w:line="312" w:lineRule="auto"/>
      <w:ind w:firstLine="420"/>
    </w:pPr>
    <w:rPr>
      <w:szCs w:val="24"/>
    </w:rPr>
  </w:style>
  <w:style w:type="paragraph" w:styleId="31">
    <w:name w:val="Body Text First Indent 2"/>
    <w:basedOn w:val="12"/>
    <w:link w:val="55"/>
    <w:qFormat/>
    <w:uiPriority w:val="0"/>
    <w:pPr>
      <w:ind w:firstLine="420" w:firstLineChars="200"/>
    </w:pPr>
  </w:style>
  <w:style w:type="character" w:styleId="34">
    <w:name w:val="page number"/>
    <w:qFormat/>
    <w:uiPriority w:val="0"/>
  </w:style>
  <w:style w:type="character" w:styleId="35">
    <w:name w:val="FollowedHyperlink"/>
    <w:unhideWhenUsed/>
    <w:qFormat/>
    <w:uiPriority w:val="99"/>
    <w:rPr>
      <w:color w:val="954F72"/>
      <w:u w:val="single"/>
    </w:rPr>
  </w:style>
  <w:style w:type="character" w:styleId="36">
    <w:name w:val="Hyperlink"/>
    <w:qFormat/>
    <w:uiPriority w:val="99"/>
    <w:rPr>
      <w:color w:val="0000FF"/>
      <w:u w:val="single"/>
    </w:rPr>
  </w:style>
  <w:style w:type="character" w:styleId="37">
    <w:name w:val="annotation reference"/>
    <w:qFormat/>
    <w:uiPriority w:val="0"/>
    <w:rPr>
      <w:sz w:val="21"/>
      <w:szCs w:val="21"/>
    </w:rPr>
  </w:style>
  <w:style w:type="character" w:customStyle="1" w:styleId="38">
    <w:name w:val="标题 1 Char1"/>
    <w:link w:val="2"/>
    <w:qFormat/>
    <w:uiPriority w:val="0"/>
    <w:rPr>
      <w:rFonts w:ascii="宋体" w:hAnsi="宋体" w:eastAsia="宋体" w:cs="Times New Roman"/>
      <w:b/>
      <w:color w:val="000000"/>
      <w:kern w:val="44"/>
      <w:sz w:val="32"/>
      <w:szCs w:val="32"/>
    </w:rPr>
  </w:style>
  <w:style w:type="character" w:customStyle="1" w:styleId="39">
    <w:name w:val="标题 2 Char"/>
    <w:link w:val="3"/>
    <w:qFormat/>
    <w:uiPriority w:val="9"/>
    <w:rPr>
      <w:rFonts w:ascii="宋体" w:hAnsi="宋体" w:eastAsia="宋体" w:cs="Times New Roman"/>
      <w:b/>
      <w:color w:val="000000"/>
      <w:sz w:val="30"/>
      <w:szCs w:val="30"/>
    </w:rPr>
  </w:style>
  <w:style w:type="character" w:customStyle="1" w:styleId="40">
    <w:name w:val="标题 3 Char"/>
    <w:link w:val="4"/>
    <w:qFormat/>
    <w:uiPriority w:val="0"/>
    <w:rPr>
      <w:rFonts w:ascii="黑体" w:hAnsi="Calibri" w:eastAsia="黑体" w:cs="Times New Roman"/>
      <w:sz w:val="28"/>
      <w:szCs w:val="20"/>
    </w:rPr>
  </w:style>
  <w:style w:type="character" w:customStyle="1" w:styleId="41">
    <w:name w:val="标题 6 Char"/>
    <w:link w:val="5"/>
    <w:qFormat/>
    <w:uiPriority w:val="0"/>
    <w:rPr>
      <w:rFonts w:ascii="Cambria" w:hAnsi="Cambria" w:eastAsia="宋体" w:cs="Times New Roman"/>
      <w:b/>
      <w:bCs/>
      <w:sz w:val="24"/>
      <w:szCs w:val="24"/>
    </w:rPr>
  </w:style>
  <w:style w:type="character" w:customStyle="1" w:styleId="42">
    <w:name w:val="标题 8 Char"/>
    <w:link w:val="6"/>
    <w:semiHidden/>
    <w:qFormat/>
    <w:uiPriority w:val="9"/>
    <w:rPr>
      <w:rFonts w:ascii="等线 Light" w:hAnsi="等线 Light" w:eastAsia="等线 Light" w:cs="Times New Roman"/>
      <w:kern w:val="2"/>
      <w:sz w:val="24"/>
      <w:szCs w:val="24"/>
    </w:rPr>
  </w:style>
  <w:style w:type="character" w:customStyle="1" w:styleId="43">
    <w:name w:val="批注文字 Char"/>
    <w:link w:val="9"/>
    <w:qFormat/>
    <w:uiPriority w:val="0"/>
    <w:rPr>
      <w:rFonts w:ascii="Calibri" w:hAnsi="Calibri" w:eastAsia="宋体" w:cs="Times New Roman"/>
    </w:rPr>
  </w:style>
  <w:style w:type="character" w:customStyle="1" w:styleId="44">
    <w:name w:val="正文文本 3 Char"/>
    <w:link w:val="10"/>
    <w:qFormat/>
    <w:uiPriority w:val="0"/>
    <w:rPr>
      <w:rFonts w:ascii="宋体" w:hAnsi="Calibri" w:eastAsia="宋体" w:cs="Times New Roman"/>
      <w:sz w:val="24"/>
      <w:szCs w:val="20"/>
    </w:rPr>
  </w:style>
  <w:style w:type="character" w:customStyle="1" w:styleId="45">
    <w:name w:val="正文文本 Char"/>
    <w:link w:val="11"/>
    <w:qFormat/>
    <w:uiPriority w:val="99"/>
    <w:rPr>
      <w:rFonts w:ascii="Calibri" w:hAnsi="Calibri" w:eastAsia="宋体" w:cs="Times New Roman"/>
      <w:szCs w:val="20"/>
    </w:rPr>
  </w:style>
  <w:style w:type="character" w:customStyle="1" w:styleId="46">
    <w:name w:val="正文文本缩进 Char"/>
    <w:link w:val="12"/>
    <w:qFormat/>
    <w:uiPriority w:val="0"/>
    <w:rPr>
      <w:rFonts w:ascii="Calibri" w:hAnsi="Calibri" w:eastAsia="宋体" w:cs="Times New Roman"/>
    </w:rPr>
  </w:style>
  <w:style w:type="character" w:customStyle="1" w:styleId="47">
    <w:name w:val="纯文本 Char"/>
    <w:link w:val="16"/>
    <w:qFormat/>
    <w:uiPriority w:val="0"/>
    <w:rPr>
      <w:rFonts w:ascii="宋体" w:hAnsi="Calibri" w:eastAsia="宋体" w:cs="Times New Roman"/>
    </w:rPr>
  </w:style>
  <w:style w:type="character" w:customStyle="1" w:styleId="48">
    <w:name w:val="日期 Char"/>
    <w:link w:val="18"/>
    <w:qFormat/>
    <w:uiPriority w:val="0"/>
    <w:rPr>
      <w:rFonts w:ascii="Calibri" w:hAnsi="Calibri" w:eastAsia="宋体" w:cs="Times New Roman"/>
    </w:rPr>
  </w:style>
  <w:style w:type="character" w:customStyle="1" w:styleId="49">
    <w:name w:val="正文文本缩进 2 Char"/>
    <w:link w:val="19"/>
    <w:semiHidden/>
    <w:qFormat/>
    <w:uiPriority w:val="99"/>
    <w:rPr>
      <w:kern w:val="2"/>
      <w:sz w:val="21"/>
      <w:szCs w:val="22"/>
    </w:rPr>
  </w:style>
  <w:style w:type="character" w:customStyle="1" w:styleId="50">
    <w:name w:val="批注框文本 Char"/>
    <w:link w:val="20"/>
    <w:qFormat/>
    <w:uiPriority w:val="0"/>
    <w:rPr>
      <w:rFonts w:ascii="Calibri" w:hAnsi="Calibri" w:eastAsia="宋体" w:cs="Times New Roman"/>
      <w:sz w:val="18"/>
      <w:szCs w:val="18"/>
    </w:rPr>
  </w:style>
  <w:style w:type="character" w:customStyle="1" w:styleId="51">
    <w:name w:val="页脚 Char1"/>
    <w:link w:val="21"/>
    <w:qFormat/>
    <w:uiPriority w:val="99"/>
    <w:rPr>
      <w:sz w:val="18"/>
      <w:szCs w:val="18"/>
    </w:rPr>
  </w:style>
  <w:style w:type="character" w:customStyle="1" w:styleId="52">
    <w:name w:val="页眉 Char1"/>
    <w:link w:val="22"/>
    <w:qFormat/>
    <w:uiPriority w:val="99"/>
    <w:rPr>
      <w:sz w:val="18"/>
      <w:szCs w:val="18"/>
    </w:rPr>
  </w:style>
  <w:style w:type="character" w:customStyle="1" w:styleId="53">
    <w:name w:val="批注主题 Char"/>
    <w:link w:val="29"/>
    <w:qFormat/>
    <w:uiPriority w:val="0"/>
    <w:rPr>
      <w:rFonts w:ascii="Calibri" w:hAnsi="Calibri" w:eastAsia="宋体" w:cs="Times New Roman"/>
      <w:b/>
      <w:bCs/>
    </w:rPr>
  </w:style>
  <w:style w:type="character" w:customStyle="1" w:styleId="54">
    <w:name w:val="正文首行缩进 Char"/>
    <w:link w:val="30"/>
    <w:qFormat/>
    <w:uiPriority w:val="99"/>
    <w:rPr>
      <w:rFonts w:ascii="Calibri" w:hAnsi="Calibri" w:eastAsia="宋体" w:cs="Times New Roman"/>
      <w:szCs w:val="24"/>
    </w:rPr>
  </w:style>
  <w:style w:type="character" w:customStyle="1" w:styleId="55">
    <w:name w:val="正文首行缩进 2 Char"/>
    <w:link w:val="31"/>
    <w:qFormat/>
    <w:uiPriority w:val="0"/>
    <w:rPr>
      <w:rFonts w:ascii="Calibri" w:hAnsi="Calibri" w:eastAsia="宋体" w:cs="Times New Roman"/>
    </w:rPr>
  </w:style>
  <w:style w:type="character" w:customStyle="1" w:styleId="56">
    <w:name w:val="标题 6 字符"/>
    <w:semiHidden/>
    <w:qFormat/>
    <w:uiPriority w:val="9"/>
    <w:rPr>
      <w:rFonts w:ascii="等线 Light" w:hAnsi="等线 Light" w:eastAsia="等线 Light" w:cs="Times New Roman"/>
      <w:b/>
      <w:bCs/>
      <w:sz w:val="24"/>
      <w:szCs w:val="24"/>
    </w:rPr>
  </w:style>
  <w:style w:type="paragraph" w:customStyle="1" w:styleId="57">
    <w:name w:val="Default"/>
    <w:qFormat/>
    <w:uiPriority w:val="0"/>
    <w:pPr>
      <w:widowControl w:val="0"/>
      <w:autoSpaceDE w:val="0"/>
      <w:autoSpaceDN w:val="0"/>
      <w:adjustRightInd w:val="0"/>
    </w:pPr>
    <w:rPr>
      <w:rFonts w:ascii="Calibri" w:hAnsi="Calibri" w:eastAsia="宋体" w:cs="Times New Roman"/>
      <w:color w:val="000000"/>
      <w:sz w:val="24"/>
      <w:szCs w:val="24"/>
      <w:lang w:val="en-US" w:eastAsia="zh-CN" w:bidi="ar-SA"/>
    </w:rPr>
  </w:style>
  <w:style w:type="character" w:customStyle="1" w:styleId="58">
    <w:name w:val="批注文字 字符"/>
    <w:semiHidden/>
    <w:qFormat/>
    <w:uiPriority w:val="99"/>
  </w:style>
  <w:style w:type="character" w:customStyle="1" w:styleId="59">
    <w:name w:val="正文文本 字符"/>
    <w:semiHidden/>
    <w:qFormat/>
    <w:uiPriority w:val="99"/>
  </w:style>
  <w:style w:type="character" w:customStyle="1" w:styleId="60">
    <w:name w:val="正文文本缩进 字符"/>
    <w:semiHidden/>
    <w:qFormat/>
    <w:uiPriority w:val="99"/>
  </w:style>
  <w:style w:type="character" w:customStyle="1" w:styleId="61">
    <w:name w:val="日期 字符"/>
    <w:semiHidden/>
    <w:qFormat/>
    <w:uiPriority w:val="99"/>
  </w:style>
  <w:style w:type="character" w:customStyle="1" w:styleId="62">
    <w:name w:val="批注框文本 字符"/>
    <w:semiHidden/>
    <w:qFormat/>
    <w:uiPriority w:val="99"/>
    <w:rPr>
      <w:sz w:val="18"/>
      <w:szCs w:val="18"/>
    </w:rPr>
  </w:style>
  <w:style w:type="character" w:customStyle="1" w:styleId="63">
    <w:name w:val="页脚 Char"/>
    <w:qFormat/>
    <w:uiPriority w:val="0"/>
    <w:rPr>
      <w:kern w:val="2"/>
      <w:sz w:val="18"/>
      <w:szCs w:val="22"/>
    </w:rPr>
  </w:style>
  <w:style w:type="character" w:customStyle="1" w:styleId="64">
    <w:name w:val="页眉 Char"/>
    <w:qFormat/>
    <w:uiPriority w:val="0"/>
    <w:rPr>
      <w:kern w:val="2"/>
      <w:sz w:val="18"/>
      <w:szCs w:val="18"/>
    </w:rPr>
  </w:style>
  <w:style w:type="character" w:customStyle="1" w:styleId="65">
    <w:name w:val="批注主题 字符"/>
    <w:semiHidden/>
    <w:qFormat/>
    <w:uiPriority w:val="99"/>
    <w:rPr>
      <w:b/>
      <w:bCs/>
    </w:rPr>
  </w:style>
  <w:style w:type="character" w:customStyle="1" w:styleId="66">
    <w:name w:val="正文首行缩进 字符"/>
    <w:semiHidden/>
    <w:qFormat/>
    <w:uiPriority w:val="99"/>
  </w:style>
  <w:style w:type="character" w:customStyle="1" w:styleId="67">
    <w:name w:val="正文首行缩进 2 字符"/>
    <w:semiHidden/>
    <w:qFormat/>
    <w:uiPriority w:val="99"/>
  </w:style>
  <w:style w:type="paragraph" w:customStyle="1" w:styleId="68">
    <w:name w:val="xl85"/>
    <w:basedOn w:val="1"/>
    <w:qFormat/>
    <w:uiPriority w:val="0"/>
    <w:pPr>
      <w:widowControl/>
      <w:pBdr>
        <w:left w:val="single" w:color="auto" w:sz="4" w:space="0"/>
        <w:right w:val="single" w:color="auto" w:sz="4" w:space="0"/>
      </w:pBdr>
      <w:shd w:val="clear" w:color="000000" w:fill="FFFF00"/>
      <w:spacing w:before="100" w:beforeAutospacing="1" w:after="100" w:afterAutospacing="1"/>
      <w:jc w:val="center"/>
    </w:pPr>
    <w:rPr>
      <w:rFonts w:ascii="Calibri" w:hAnsi="Calibri" w:eastAsia="宋体" w:cs="Times New Roman"/>
      <w:color w:val="FF0000"/>
      <w:kern w:val="0"/>
      <w:sz w:val="24"/>
      <w:szCs w:val="24"/>
    </w:rPr>
  </w:style>
  <w:style w:type="paragraph" w:customStyle="1" w:styleId="69">
    <w:name w:val="文二"/>
    <w:basedOn w:val="1"/>
    <w:qFormat/>
    <w:uiPriority w:val="99"/>
    <w:pPr>
      <w:jc w:val="left"/>
    </w:pPr>
    <w:rPr>
      <w:rFonts w:ascii="宋体" w:hAnsi="宋体" w:eastAsia="宋体" w:cs="宋体"/>
      <w:szCs w:val="21"/>
    </w:rPr>
  </w:style>
  <w:style w:type="paragraph" w:customStyle="1" w:styleId="70">
    <w:name w:val="xl87"/>
    <w:basedOn w:val="1"/>
    <w:qFormat/>
    <w:uiPriority w:val="0"/>
    <w:pPr>
      <w:widowControl/>
      <w:pBdr>
        <w:top w:val="single" w:color="auto" w:sz="4" w:space="0"/>
        <w:left w:val="single" w:color="auto" w:sz="4" w:space="0"/>
        <w:right w:val="single" w:color="auto" w:sz="4" w:space="0"/>
      </w:pBdr>
      <w:shd w:val="clear" w:color="000000" w:fill="FFFF00"/>
      <w:spacing w:before="100" w:beforeAutospacing="1" w:after="100" w:afterAutospacing="1"/>
      <w:jc w:val="center"/>
    </w:pPr>
    <w:rPr>
      <w:rFonts w:ascii="宋体" w:hAnsi="宋体" w:eastAsia="宋体" w:cs="宋体"/>
      <w:kern w:val="0"/>
      <w:sz w:val="24"/>
      <w:szCs w:val="24"/>
    </w:rPr>
  </w:style>
  <w:style w:type="paragraph" w:customStyle="1" w:styleId="71">
    <w:name w:val="xl82"/>
    <w:basedOn w:val="1"/>
    <w:qFormat/>
    <w:uiPriority w:val="0"/>
    <w:pPr>
      <w:widowControl/>
      <w:pBdr>
        <w:top w:val="single" w:color="auto" w:sz="4" w:space="0"/>
        <w:bottom w:val="single" w:color="auto" w:sz="4" w:space="0"/>
      </w:pBdr>
      <w:shd w:val="clear" w:color="000000" w:fill="FFFF00"/>
      <w:spacing w:before="100" w:beforeAutospacing="1" w:after="100" w:afterAutospacing="1"/>
      <w:jc w:val="center"/>
    </w:pPr>
    <w:rPr>
      <w:rFonts w:ascii="宋体" w:hAnsi="宋体" w:eastAsia="宋体" w:cs="宋体"/>
      <w:kern w:val="0"/>
      <w:sz w:val="24"/>
      <w:szCs w:val="24"/>
    </w:rPr>
  </w:style>
  <w:style w:type="paragraph" w:customStyle="1" w:styleId="72">
    <w:name w:val="font6"/>
    <w:basedOn w:val="1"/>
    <w:qFormat/>
    <w:uiPriority w:val="0"/>
    <w:pPr>
      <w:widowControl/>
      <w:spacing w:before="100" w:beforeAutospacing="1" w:after="100" w:afterAutospacing="1"/>
      <w:jc w:val="left"/>
    </w:pPr>
    <w:rPr>
      <w:rFonts w:ascii="Calibri" w:hAnsi="Calibri" w:eastAsia="宋体" w:cs="Times New Roman"/>
      <w:color w:val="000000"/>
      <w:kern w:val="0"/>
      <w:sz w:val="22"/>
    </w:rPr>
  </w:style>
  <w:style w:type="paragraph" w:customStyle="1" w:styleId="73">
    <w:name w:val="xl7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74">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color w:val="FF0000"/>
      <w:kern w:val="0"/>
      <w:sz w:val="24"/>
      <w:szCs w:val="24"/>
    </w:rPr>
  </w:style>
  <w:style w:type="paragraph" w:customStyle="1" w:styleId="75">
    <w:name w:val="xl86"/>
    <w:basedOn w:val="1"/>
    <w:qFormat/>
    <w:uiPriority w:val="0"/>
    <w:pPr>
      <w:widowControl/>
      <w:pBdr>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Calibri" w:hAnsi="Calibri" w:eastAsia="宋体" w:cs="Times New Roman"/>
      <w:color w:val="FF0000"/>
      <w:kern w:val="0"/>
      <w:sz w:val="24"/>
      <w:szCs w:val="24"/>
    </w:rPr>
  </w:style>
  <w:style w:type="paragraph" w:customStyle="1" w:styleId="76">
    <w:name w:val="xl83"/>
    <w:basedOn w:val="1"/>
    <w:qFormat/>
    <w:uiPriority w:val="0"/>
    <w:pPr>
      <w:widowControl/>
      <w:pBdr>
        <w:top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kern w:val="0"/>
      <w:sz w:val="24"/>
      <w:szCs w:val="24"/>
    </w:rPr>
  </w:style>
  <w:style w:type="paragraph" w:customStyle="1" w:styleId="77">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Times New Roman"/>
      <w:kern w:val="0"/>
      <w:sz w:val="24"/>
      <w:szCs w:val="24"/>
    </w:rPr>
  </w:style>
  <w:style w:type="paragraph" w:customStyle="1" w:styleId="78">
    <w:name w:val="_Style 3"/>
    <w:basedOn w:val="1"/>
    <w:qFormat/>
    <w:uiPriority w:val="1"/>
    <w:pPr>
      <w:spacing w:line="360" w:lineRule="auto"/>
      <w:jc w:val="center"/>
    </w:pPr>
    <w:rPr>
      <w:rFonts w:ascii="Calibri" w:hAnsi="Calibri" w:eastAsia="宋体" w:cs="Times New Roman"/>
      <w:szCs w:val="20"/>
    </w:rPr>
  </w:style>
  <w:style w:type="paragraph" w:customStyle="1" w:styleId="79">
    <w:name w:val="xl89"/>
    <w:basedOn w:val="1"/>
    <w:qFormat/>
    <w:uiPriority w:val="0"/>
    <w:pPr>
      <w:widowControl/>
      <w:pBdr>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kern w:val="0"/>
      <w:sz w:val="24"/>
      <w:szCs w:val="24"/>
    </w:rPr>
  </w:style>
  <w:style w:type="paragraph" w:customStyle="1" w:styleId="80">
    <w:name w:val="font8"/>
    <w:basedOn w:val="1"/>
    <w:qFormat/>
    <w:uiPriority w:val="0"/>
    <w:pPr>
      <w:widowControl/>
      <w:spacing w:before="100" w:beforeAutospacing="1" w:after="100" w:afterAutospacing="1"/>
      <w:jc w:val="left"/>
    </w:pPr>
    <w:rPr>
      <w:rFonts w:ascii="宋体" w:hAnsi="宋体" w:eastAsia="宋体" w:cs="宋体"/>
      <w:color w:val="FF0000"/>
      <w:kern w:val="0"/>
      <w:sz w:val="22"/>
    </w:rPr>
  </w:style>
  <w:style w:type="paragraph" w:customStyle="1" w:styleId="81">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Times New Roman"/>
      <w:kern w:val="0"/>
      <w:sz w:val="24"/>
      <w:szCs w:val="24"/>
    </w:rPr>
  </w:style>
  <w:style w:type="paragraph" w:customStyle="1" w:styleId="8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Times New Roman"/>
      <w:kern w:val="0"/>
      <w:sz w:val="24"/>
      <w:szCs w:val="24"/>
    </w:rPr>
  </w:style>
  <w:style w:type="paragraph" w:customStyle="1" w:styleId="83">
    <w:name w:val="xl71"/>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Calibri" w:hAnsi="Calibri" w:eastAsia="宋体" w:cs="Times New Roman"/>
      <w:color w:val="FF0000"/>
      <w:kern w:val="0"/>
      <w:sz w:val="24"/>
      <w:szCs w:val="24"/>
    </w:rPr>
  </w:style>
  <w:style w:type="paragraph" w:customStyle="1" w:styleId="84">
    <w:name w:val="xl76"/>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Calibri" w:hAnsi="Calibri" w:eastAsia="宋体" w:cs="Times New Roman"/>
      <w:kern w:val="0"/>
      <w:sz w:val="24"/>
      <w:szCs w:val="24"/>
    </w:rPr>
  </w:style>
  <w:style w:type="paragraph" w:customStyle="1" w:styleId="8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Times New Roman"/>
      <w:kern w:val="0"/>
      <w:sz w:val="24"/>
      <w:szCs w:val="24"/>
    </w:rPr>
  </w:style>
  <w:style w:type="paragraph" w:customStyle="1" w:styleId="86">
    <w:name w:val="xl70"/>
    <w:basedOn w:val="1"/>
    <w:qFormat/>
    <w:uiPriority w:val="0"/>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宋体" w:hAnsi="宋体" w:eastAsia="宋体" w:cs="宋体"/>
      <w:color w:val="FF0000"/>
      <w:kern w:val="0"/>
      <w:sz w:val="24"/>
      <w:szCs w:val="24"/>
    </w:rPr>
  </w:style>
  <w:style w:type="paragraph" w:customStyle="1" w:styleId="87">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黑体" w:hAnsi="黑体" w:eastAsia="黑体" w:cs="宋体"/>
      <w:b/>
      <w:bCs/>
      <w:kern w:val="0"/>
      <w:sz w:val="24"/>
      <w:szCs w:val="24"/>
    </w:rPr>
  </w:style>
  <w:style w:type="paragraph" w:customStyle="1" w:styleId="88">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89">
    <w:name w:val="xl90"/>
    <w:basedOn w:val="1"/>
    <w:qFormat/>
    <w:uiPriority w:val="0"/>
    <w:pPr>
      <w:widowControl/>
      <w:pBdr>
        <w:top w:val="single" w:color="auto" w:sz="4" w:space="0"/>
        <w:left w:val="single" w:color="auto" w:sz="4" w:space="0"/>
        <w:right w:val="single" w:color="auto" w:sz="4" w:space="0"/>
      </w:pBdr>
      <w:shd w:val="clear" w:color="000000" w:fill="FFFF00"/>
      <w:spacing w:before="100" w:beforeAutospacing="1" w:after="100" w:afterAutospacing="1"/>
      <w:jc w:val="center"/>
    </w:pPr>
    <w:rPr>
      <w:rFonts w:ascii="Calibri" w:hAnsi="Calibri" w:eastAsia="宋体" w:cs="Times New Roman"/>
      <w:kern w:val="0"/>
      <w:sz w:val="24"/>
      <w:szCs w:val="24"/>
    </w:rPr>
  </w:style>
  <w:style w:type="paragraph" w:customStyle="1" w:styleId="90">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91">
    <w:name w:val="样式 标题 2 +"/>
    <w:basedOn w:val="3"/>
    <w:qFormat/>
    <w:uiPriority w:val="0"/>
    <w:pPr>
      <w:tabs>
        <w:tab w:val="left" w:pos="567"/>
        <w:tab w:val="left" w:pos="720"/>
      </w:tabs>
      <w:spacing w:line="416" w:lineRule="auto"/>
    </w:pPr>
    <w:rPr>
      <w:bCs/>
      <w:kern w:val="0"/>
      <w:szCs w:val="32"/>
    </w:rPr>
  </w:style>
  <w:style w:type="paragraph" w:customStyle="1" w:styleId="92">
    <w:name w:val="xl88"/>
    <w:basedOn w:val="1"/>
    <w:qFormat/>
    <w:uiPriority w:val="0"/>
    <w:pPr>
      <w:widowControl/>
      <w:pBdr>
        <w:left w:val="single" w:color="auto" w:sz="4" w:space="0"/>
        <w:right w:val="single" w:color="auto" w:sz="4" w:space="0"/>
      </w:pBdr>
      <w:shd w:val="clear" w:color="000000" w:fill="FFFF00"/>
      <w:spacing w:before="100" w:beforeAutospacing="1" w:after="100" w:afterAutospacing="1"/>
      <w:jc w:val="center"/>
    </w:pPr>
    <w:rPr>
      <w:rFonts w:ascii="宋体" w:hAnsi="宋体" w:eastAsia="宋体" w:cs="宋体"/>
      <w:kern w:val="0"/>
      <w:sz w:val="24"/>
      <w:szCs w:val="24"/>
    </w:rPr>
  </w:style>
  <w:style w:type="paragraph" w:customStyle="1" w:styleId="93">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b/>
      <w:bCs/>
      <w:kern w:val="0"/>
      <w:sz w:val="24"/>
      <w:szCs w:val="24"/>
    </w:rPr>
  </w:style>
  <w:style w:type="paragraph" w:customStyle="1" w:styleId="9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Times New Roman"/>
      <w:color w:val="FF0000"/>
      <w:kern w:val="0"/>
      <w:sz w:val="24"/>
      <w:szCs w:val="24"/>
    </w:rPr>
  </w:style>
  <w:style w:type="paragraph" w:customStyle="1" w:styleId="95">
    <w:name w:val="xl91"/>
    <w:basedOn w:val="1"/>
    <w:qFormat/>
    <w:uiPriority w:val="0"/>
    <w:pPr>
      <w:widowControl/>
      <w:pBdr>
        <w:left w:val="single" w:color="auto" w:sz="4" w:space="0"/>
        <w:right w:val="single" w:color="auto" w:sz="4" w:space="0"/>
      </w:pBdr>
      <w:shd w:val="clear" w:color="000000" w:fill="FFFF00"/>
      <w:spacing w:before="100" w:beforeAutospacing="1" w:after="100" w:afterAutospacing="1"/>
      <w:jc w:val="center"/>
    </w:pPr>
    <w:rPr>
      <w:rFonts w:ascii="Calibri" w:hAnsi="Calibri" w:eastAsia="宋体" w:cs="Times New Roman"/>
      <w:kern w:val="0"/>
      <w:sz w:val="24"/>
      <w:szCs w:val="24"/>
    </w:rPr>
  </w:style>
  <w:style w:type="paragraph" w:customStyle="1" w:styleId="96">
    <w:name w:val="列出段落2"/>
    <w:basedOn w:val="1"/>
    <w:qFormat/>
    <w:uiPriority w:val="0"/>
    <w:pPr>
      <w:ind w:firstLine="420" w:firstLineChars="200"/>
    </w:pPr>
    <w:rPr>
      <w:rFonts w:ascii="Calibri" w:hAnsi="Calibri" w:eastAsia="宋体" w:cs="Times New Roman"/>
      <w:szCs w:val="24"/>
    </w:rPr>
  </w:style>
  <w:style w:type="paragraph" w:customStyle="1" w:styleId="97">
    <w:name w:val="xl9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Calibri" w:hAnsi="Calibri" w:eastAsia="宋体" w:cs="Times New Roman"/>
      <w:kern w:val="0"/>
      <w:sz w:val="24"/>
      <w:szCs w:val="24"/>
    </w:rPr>
  </w:style>
  <w:style w:type="paragraph" w:customStyle="1" w:styleId="98">
    <w:name w:val="xl92"/>
    <w:basedOn w:val="1"/>
    <w:qFormat/>
    <w:uiPriority w:val="0"/>
    <w:pPr>
      <w:widowControl/>
      <w:pBdr>
        <w:left w:val="single" w:color="auto" w:sz="4" w:space="0"/>
        <w:bottom w:val="single" w:color="auto" w:sz="4" w:space="0"/>
        <w:right w:val="single" w:color="auto" w:sz="4" w:space="0"/>
      </w:pBdr>
      <w:shd w:val="clear" w:color="000000" w:fill="FFFF00"/>
      <w:spacing w:before="100" w:beforeAutospacing="1" w:after="100" w:afterAutospacing="1"/>
      <w:jc w:val="center"/>
    </w:pPr>
    <w:rPr>
      <w:rFonts w:ascii="Calibri" w:hAnsi="Calibri" w:eastAsia="宋体" w:cs="Times New Roman"/>
      <w:kern w:val="0"/>
      <w:sz w:val="24"/>
      <w:szCs w:val="24"/>
    </w:rPr>
  </w:style>
  <w:style w:type="paragraph" w:styleId="99">
    <w:name w:val="No Spacing"/>
    <w:qFormat/>
    <w:uiPriority w:val="4"/>
    <w:pPr>
      <w:widowControl w:val="0"/>
      <w:snapToGrid w:val="0"/>
      <w:ind w:firstLine="200" w:firstLineChars="200"/>
      <w:jc w:val="both"/>
    </w:pPr>
    <w:rPr>
      <w:rFonts w:ascii="Calibri" w:hAnsi="Calibri" w:eastAsia="宋体" w:cs="Times New Roman"/>
      <w:kern w:val="2"/>
      <w:sz w:val="21"/>
      <w:szCs w:val="21"/>
      <w:lang w:val="en-US" w:eastAsia="zh-CN" w:bidi="ar-SA"/>
    </w:rPr>
  </w:style>
  <w:style w:type="paragraph" w:customStyle="1" w:styleId="100">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101">
    <w:name w:val="xl7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102">
    <w:name w:val="xl9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Times New Roman"/>
      <w:kern w:val="0"/>
      <w:sz w:val="24"/>
      <w:szCs w:val="24"/>
    </w:rPr>
  </w:style>
  <w:style w:type="paragraph" w:customStyle="1" w:styleId="103">
    <w:name w:val="font7"/>
    <w:basedOn w:val="1"/>
    <w:qFormat/>
    <w:uiPriority w:val="0"/>
    <w:pPr>
      <w:widowControl/>
      <w:spacing w:before="100" w:beforeAutospacing="1" w:after="100" w:afterAutospacing="1"/>
      <w:jc w:val="left"/>
    </w:pPr>
    <w:rPr>
      <w:rFonts w:ascii="宋体" w:hAnsi="宋体" w:eastAsia="宋体" w:cs="宋体"/>
      <w:color w:val="000000"/>
      <w:kern w:val="0"/>
      <w:sz w:val="22"/>
    </w:rPr>
  </w:style>
  <w:style w:type="paragraph" w:customStyle="1" w:styleId="104">
    <w:name w:val="xl84"/>
    <w:basedOn w:val="1"/>
    <w:qFormat/>
    <w:uiPriority w:val="0"/>
    <w:pPr>
      <w:widowControl/>
      <w:pBdr>
        <w:top w:val="single" w:color="auto" w:sz="4" w:space="0"/>
        <w:left w:val="single" w:color="auto" w:sz="4" w:space="0"/>
        <w:right w:val="single" w:color="auto" w:sz="4" w:space="0"/>
      </w:pBdr>
      <w:shd w:val="clear" w:color="000000" w:fill="FFFF00"/>
      <w:spacing w:before="100" w:beforeAutospacing="1" w:after="100" w:afterAutospacing="1"/>
      <w:jc w:val="center"/>
    </w:pPr>
    <w:rPr>
      <w:rFonts w:ascii="Calibri" w:hAnsi="Calibri" w:eastAsia="宋体" w:cs="Times New Roman"/>
      <w:color w:val="FF0000"/>
      <w:kern w:val="0"/>
      <w:sz w:val="24"/>
      <w:szCs w:val="24"/>
    </w:rPr>
  </w:style>
  <w:style w:type="paragraph" w:customStyle="1" w:styleId="105">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eastAsia="宋体" w:cs="Times New Roman"/>
      <w:kern w:val="0"/>
      <w:sz w:val="24"/>
      <w:szCs w:val="24"/>
    </w:rPr>
  </w:style>
  <w:style w:type="paragraph" w:customStyle="1" w:styleId="106">
    <w:name w:val="TOC 标题1"/>
    <w:basedOn w:val="2"/>
    <w:next w:val="1"/>
    <w:qFormat/>
    <w:uiPriority w:val="0"/>
    <w:pPr>
      <w:widowControl/>
      <w:spacing w:before="480" w:after="0"/>
      <w:jc w:val="left"/>
      <w:outlineLvl w:val="9"/>
    </w:pPr>
    <w:rPr>
      <w:rFonts w:ascii="Cambria" w:hAnsi="Cambria"/>
      <w:color w:val="365F91"/>
      <w:kern w:val="0"/>
      <w:sz w:val="28"/>
    </w:rPr>
  </w:style>
  <w:style w:type="paragraph" w:customStyle="1" w:styleId="107">
    <w:name w:val="Table Paragraph"/>
    <w:basedOn w:val="1"/>
    <w:unhideWhenUsed/>
    <w:qFormat/>
    <w:uiPriority w:val="99"/>
    <w:rPr>
      <w:rFonts w:ascii="Calibri" w:hAnsi="Calibri" w:eastAsia="宋体" w:cs="Times New Roman"/>
    </w:rPr>
  </w:style>
  <w:style w:type="paragraph" w:customStyle="1" w:styleId="108">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109">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color w:val="FF0000"/>
      <w:kern w:val="0"/>
      <w:sz w:val="24"/>
      <w:szCs w:val="24"/>
    </w:rPr>
  </w:style>
  <w:style w:type="paragraph" w:customStyle="1" w:styleId="110">
    <w:name w:val="font9"/>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11">
    <w:name w:val="font5"/>
    <w:basedOn w:val="1"/>
    <w:qFormat/>
    <w:uiPriority w:val="0"/>
    <w:pPr>
      <w:widowControl/>
      <w:spacing w:before="100" w:beforeAutospacing="1" w:after="100" w:afterAutospacing="1"/>
      <w:jc w:val="left"/>
    </w:pPr>
    <w:rPr>
      <w:rFonts w:ascii="黑体" w:hAnsi="黑体" w:eastAsia="黑体" w:cs="宋体"/>
      <w:b/>
      <w:bCs/>
      <w:color w:val="FF0000"/>
      <w:kern w:val="0"/>
      <w:sz w:val="24"/>
      <w:szCs w:val="24"/>
    </w:rPr>
  </w:style>
  <w:style w:type="paragraph" w:customStyle="1" w:styleId="112">
    <w:name w:val="xl81"/>
    <w:basedOn w:val="1"/>
    <w:qFormat/>
    <w:uiPriority w:val="0"/>
    <w:pPr>
      <w:widowControl/>
      <w:pBdr>
        <w:top w:val="single" w:color="auto" w:sz="4" w:space="0"/>
        <w:left w:val="single" w:color="auto" w:sz="4" w:space="0"/>
        <w:bottom w:val="single" w:color="auto" w:sz="4" w:space="0"/>
      </w:pBdr>
      <w:shd w:val="clear" w:color="000000" w:fill="FFFF00"/>
      <w:spacing w:before="100" w:beforeAutospacing="1" w:after="100" w:afterAutospacing="1"/>
      <w:jc w:val="center"/>
    </w:pPr>
    <w:rPr>
      <w:rFonts w:ascii="宋体" w:hAnsi="宋体" w:eastAsia="宋体" w:cs="宋体"/>
      <w:kern w:val="0"/>
      <w:sz w:val="24"/>
      <w:szCs w:val="24"/>
    </w:rPr>
  </w:style>
  <w:style w:type="paragraph" w:styleId="113">
    <w:name w:val="List Paragraph"/>
    <w:basedOn w:val="1"/>
    <w:qFormat/>
    <w:uiPriority w:val="0"/>
    <w:pPr>
      <w:ind w:firstLine="420" w:firstLineChars="200"/>
    </w:pPr>
    <w:rPr>
      <w:rFonts w:ascii="Calibri" w:hAnsi="Calibri" w:eastAsia="宋体" w:cs="Times New Roman"/>
    </w:rPr>
  </w:style>
  <w:style w:type="paragraph" w:customStyle="1" w:styleId="114">
    <w:name w:val="_Style 7"/>
    <w:basedOn w:val="11"/>
    <w:next w:val="30"/>
    <w:qFormat/>
    <w:uiPriority w:val="99"/>
    <w:pPr>
      <w:spacing w:line="312" w:lineRule="auto"/>
      <w:ind w:firstLine="420"/>
    </w:pPr>
    <w:rPr>
      <w:szCs w:val="24"/>
    </w:rPr>
  </w:style>
  <w:style w:type="paragraph" w:customStyle="1" w:styleId="115">
    <w:name w:val="修订1"/>
    <w:unhideWhenUsed/>
    <w:qFormat/>
    <w:uiPriority w:val="99"/>
    <w:rPr>
      <w:rFonts w:ascii="Calibri" w:hAnsi="Calibri" w:eastAsia="宋体" w:cs="Times New Roman"/>
      <w:kern w:val="2"/>
      <w:sz w:val="21"/>
      <w:szCs w:val="22"/>
      <w:lang w:val="en-US" w:eastAsia="zh-CN" w:bidi="ar-SA"/>
    </w:rPr>
  </w:style>
  <w:style w:type="paragraph" w:customStyle="1" w:styleId="116">
    <w:name w:val="标题 1_0"/>
    <w:basedOn w:val="117"/>
    <w:next w:val="117"/>
    <w:link w:val="118"/>
    <w:qFormat/>
    <w:uiPriority w:val="9"/>
    <w:pPr>
      <w:keepNext/>
      <w:keepLines/>
      <w:spacing w:before="340" w:after="330" w:line="578" w:lineRule="auto"/>
      <w:ind w:left="0" w:leftChars="0"/>
      <w:jc w:val="center"/>
      <w:outlineLvl w:val="0"/>
    </w:pPr>
    <w:rPr>
      <w:rFonts w:eastAsia="宋体"/>
      <w:b/>
      <w:bCs/>
      <w:kern w:val="44"/>
      <w:sz w:val="32"/>
      <w:szCs w:val="44"/>
    </w:rPr>
  </w:style>
  <w:style w:type="paragraph" w:customStyle="1" w:styleId="117">
    <w:name w:val="正文_0"/>
    <w:qFormat/>
    <w:uiPriority w:val="0"/>
    <w:pPr>
      <w:spacing w:line="360" w:lineRule="auto"/>
      <w:ind w:left="200" w:leftChars="200"/>
      <w:jc w:val="both"/>
    </w:pPr>
    <w:rPr>
      <w:rFonts w:ascii="Times New Roman" w:hAnsi="Times New Roman" w:eastAsia="仿宋" w:cs="Times New Roman"/>
      <w:kern w:val="2"/>
      <w:sz w:val="21"/>
      <w:szCs w:val="22"/>
      <w:lang w:val="en-US" w:eastAsia="zh-CN" w:bidi="ar-SA"/>
    </w:rPr>
  </w:style>
  <w:style w:type="character" w:customStyle="1" w:styleId="118">
    <w:name w:val="标题 1 Char"/>
    <w:link w:val="116"/>
    <w:qFormat/>
    <w:uiPriority w:val="9"/>
    <w:rPr>
      <w:rFonts w:ascii="Times New Roman" w:hAnsi="Times New Roman" w:eastAsia="宋体" w:cs="Times New Roman"/>
      <w:b/>
      <w:bCs/>
      <w:kern w:val="44"/>
      <w:sz w:val="32"/>
      <w:szCs w:val="44"/>
    </w:rPr>
  </w:style>
  <w:style w:type="paragraph" w:customStyle="1" w:styleId="119">
    <w:name w:val="修订2"/>
    <w:semiHidden/>
    <w:qFormat/>
    <w:uiPriority w:val="99"/>
    <w:rPr>
      <w:rFonts w:ascii="等线" w:hAnsi="等线" w:eastAsia="等线" w:cs="Times New Roman"/>
      <w:kern w:val="2"/>
      <w:sz w:val="21"/>
      <w:szCs w:val="22"/>
      <w:lang w:val="en-US" w:eastAsia="zh-CN" w:bidi="ar-SA"/>
    </w:rPr>
  </w:style>
  <w:style w:type="character" w:customStyle="1" w:styleId="120">
    <w:name w:val="纯文本 字符1"/>
    <w:qFormat/>
    <w:uiPriority w:val="0"/>
    <w:rPr>
      <w:rFonts w:ascii="宋体" w:hAnsi="Courier New" w:eastAsia="宋体" w:cs="Times New Roman"/>
      <w:szCs w:val="20"/>
    </w:rPr>
  </w:style>
  <w:style w:type="paragraph" w:customStyle="1" w:styleId="121">
    <w:name w:val="样式 小四"/>
    <w:qFormat/>
    <w:uiPriority w:val="0"/>
    <w:pPr>
      <w:widowControl w:val="0"/>
      <w:adjustRightInd w:val="0"/>
      <w:spacing w:line="360" w:lineRule="atLeast"/>
      <w:textAlignment w:val="baseline"/>
    </w:pPr>
    <w:rPr>
      <w:rFonts w:ascii="Calibri" w:hAnsi="Calibri" w:eastAsia="宋体" w:cs="Arial"/>
      <w:sz w:val="24"/>
      <w:szCs w:val="22"/>
      <w:lang w:val="en-US" w:eastAsia="zh-CN" w:bidi="ar-SA"/>
    </w:rPr>
  </w:style>
  <w:style w:type="paragraph" w:customStyle="1" w:styleId="122">
    <w:name w:val="修订21"/>
    <w:semiHidden/>
    <w:qFormat/>
    <w:uiPriority w:val="99"/>
    <w:rPr>
      <w:rFonts w:ascii="等线" w:hAnsi="等线" w:eastAsia="等线" w:cs="Times New Roman"/>
      <w:kern w:val="2"/>
      <w:sz w:val="21"/>
      <w:szCs w:val="22"/>
      <w:lang w:val="en-US" w:eastAsia="zh-CN" w:bidi="ar-SA"/>
    </w:rPr>
  </w:style>
  <w:style w:type="paragraph" w:customStyle="1" w:styleId="123">
    <w:name w:val="Revision"/>
    <w:semiHidden/>
    <w:qFormat/>
    <w:uiPriority w:val="99"/>
    <w:rPr>
      <w:rFonts w:ascii="等线" w:hAnsi="等线" w:eastAsia="等线" w:cs="Times New Roman"/>
      <w:kern w:val="2"/>
      <w:sz w:val="21"/>
      <w:szCs w:val="22"/>
      <w:lang w:val="en-US" w:eastAsia="zh-CN" w:bidi="ar-SA"/>
    </w:rPr>
  </w:style>
  <w:style w:type="table" w:customStyle="1" w:styleId="124">
    <w:name w:val="Table Normal"/>
    <w:unhideWhenUsed/>
    <w:qFormat/>
    <w:uiPriority w:val="0"/>
    <w:rPr>
      <w:lang w:val="en-US" w:eastAsia="zh-CN" w:bidi="ar-SA"/>
    </w:rPr>
    <w:tblPr>
      <w:tblCellMar>
        <w:top w:w="0" w:type="dxa"/>
        <w:left w:w="0" w:type="dxa"/>
        <w:bottom w:w="0" w:type="dxa"/>
        <w:right w:w="0" w:type="dxa"/>
      </w:tblCellMar>
    </w:tblPr>
  </w:style>
  <w:style w:type="paragraph" w:customStyle="1" w:styleId="125">
    <w:name w:val="Table Text"/>
    <w:basedOn w:val="1"/>
    <w:semiHidden/>
    <w:qFormat/>
    <w:uiPriority w:val="0"/>
    <w:rPr>
      <w:rFonts w:ascii="仿宋" w:hAnsi="仿宋" w:eastAsia="仿宋" w:cs="仿宋"/>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66</Pages>
  <Words>253</Words>
  <Characters>298</Characters>
  <Lines>236</Lines>
  <Paragraphs>66</Paragraphs>
  <TotalTime>29</TotalTime>
  <ScaleCrop>false</ScaleCrop>
  <LinksUpToDate>false</LinksUpToDate>
  <CharactersWithSpaces>316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2025-09-25T08:59:00Z</dcterms:created>
  <dc:creator>Admin</dc:creator>
  <cp:lastModifiedBy>KyleNg1126</cp:lastModifiedBy>
  <cp:lastPrinted>2025-09-28T07:37:00Z</cp:lastPrinted>
  <dcterms:modified xsi:type="dcterms:W3CDTF">2025-11-19T01:13:21Z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CF50CD392B244D76A846A0DBF611F466_13</vt:lpwstr>
  </property>
  <property fmtid="{D5CDD505-2E9C-101B-9397-08002B2CF9AE}" pid="4" name="KSOTemplateDocerSaveRecord">
    <vt:lpwstr>eyJoZGlkIjoiMGY1YzRmYzllMjY5ZTQxN2I0ODY5NWU4NmI3ZjEwOTUiLCJ1c2VySWQiOiIyMDI2Mjk4MzYifQ==</vt:lpwstr>
  </property>
</Properties>
</file>